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43D6" w14:textId="73802381" w:rsidR="002839C4" w:rsidRPr="007C5CB1" w:rsidRDefault="002839C4" w:rsidP="00C4760E">
      <w:pPr>
        <w:rPr>
          <w:rFonts w:cs="Arial"/>
          <w:szCs w:val="24"/>
        </w:rPr>
      </w:pPr>
      <w:r w:rsidRPr="007C5CB1">
        <w:rPr>
          <w:rFonts w:cs="Arial"/>
          <w:szCs w:val="24"/>
        </w:rPr>
        <w:t>Emendamento</w:t>
      </w:r>
      <w:r w:rsidR="0075662D">
        <w:rPr>
          <w:rFonts w:cs="Arial"/>
          <w:szCs w:val="24"/>
        </w:rPr>
        <w:t xml:space="preserve"> variante A</w:t>
      </w:r>
      <w:r w:rsidR="004613D4" w:rsidRPr="007C5CB1">
        <w:rPr>
          <w:rFonts w:cs="Arial"/>
          <w:szCs w:val="24"/>
        </w:rPr>
        <w:t xml:space="preserve"> al punto 16 odg. 11 aprile 2022</w:t>
      </w:r>
    </w:p>
    <w:p w14:paraId="185C5627" w14:textId="2961C8BF" w:rsidR="00344213" w:rsidRDefault="00344213" w:rsidP="00C4760E">
      <w:pPr>
        <w:rPr>
          <w:rFonts w:cs="Arial"/>
          <w:b/>
          <w:bCs/>
          <w:sz w:val="32"/>
          <w:szCs w:val="32"/>
        </w:rPr>
      </w:pPr>
    </w:p>
    <w:p w14:paraId="275F122B" w14:textId="2D2133CD" w:rsidR="00344213" w:rsidRPr="0063770E" w:rsidRDefault="007C5CB1" w:rsidP="00C4760E">
      <w:pPr>
        <w:rPr>
          <w:rFonts w:cs="Arial"/>
          <w:b/>
          <w:bCs/>
          <w:sz w:val="32"/>
          <w:szCs w:val="32"/>
          <w:u w:val="single"/>
        </w:rPr>
      </w:pPr>
      <w:r w:rsidRPr="0063770E">
        <w:rPr>
          <w:rFonts w:cs="Arial"/>
          <w:b/>
          <w:bCs/>
          <w:sz w:val="32"/>
          <w:szCs w:val="32"/>
          <w:u w:val="single"/>
        </w:rPr>
        <w:t>Un p</w:t>
      </w:r>
      <w:r w:rsidR="00992E85" w:rsidRPr="0063770E">
        <w:rPr>
          <w:rFonts w:cs="Arial"/>
          <w:b/>
          <w:bCs/>
          <w:sz w:val="32"/>
          <w:szCs w:val="32"/>
          <w:u w:val="single"/>
        </w:rPr>
        <w:t xml:space="preserve">aracadute per le pensioni </w:t>
      </w:r>
      <w:r w:rsidR="002B07F9">
        <w:rPr>
          <w:rFonts w:cs="Arial"/>
          <w:b/>
          <w:bCs/>
          <w:sz w:val="32"/>
          <w:szCs w:val="32"/>
          <w:u w:val="single"/>
        </w:rPr>
        <w:t>delle/</w:t>
      </w:r>
      <w:r w:rsidR="00992E85" w:rsidRPr="0063770E">
        <w:rPr>
          <w:rFonts w:cs="Arial"/>
          <w:b/>
          <w:bCs/>
          <w:sz w:val="32"/>
          <w:szCs w:val="32"/>
          <w:u w:val="single"/>
        </w:rPr>
        <w:t>dei 15'000 assicurati</w:t>
      </w:r>
      <w:r w:rsidR="0063770E">
        <w:rPr>
          <w:rFonts w:cs="Arial"/>
          <w:b/>
          <w:bCs/>
          <w:sz w:val="32"/>
          <w:szCs w:val="32"/>
          <w:u w:val="single"/>
        </w:rPr>
        <w:t xml:space="preserve"> IPCT</w:t>
      </w:r>
      <w:r w:rsidR="00992E85" w:rsidRPr="0063770E">
        <w:rPr>
          <w:rFonts w:cs="Arial"/>
          <w:b/>
          <w:bCs/>
          <w:sz w:val="32"/>
          <w:szCs w:val="32"/>
          <w:u w:val="single"/>
        </w:rPr>
        <w:t xml:space="preserve"> senza garanzie pensionistiche </w:t>
      </w:r>
      <w:r w:rsidRPr="0063770E">
        <w:rPr>
          <w:rFonts w:cs="Arial"/>
          <w:b/>
          <w:bCs/>
          <w:sz w:val="32"/>
          <w:szCs w:val="32"/>
          <w:u w:val="single"/>
        </w:rPr>
        <w:t>nel</w:t>
      </w:r>
      <w:r w:rsidR="00992E85" w:rsidRPr="0063770E">
        <w:rPr>
          <w:rFonts w:cs="Arial"/>
          <w:b/>
          <w:bCs/>
          <w:sz w:val="32"/>
          <w:szCs w:val="32"/>
          <w:u w:val="single"/>
        </w:rPr>
        <w:t xml:space="preserve"> caso </w:t>
      </w:r>
      <w:r w:rsidRPr="0063770E">
        <w:rPr>
          <w:rFonts w:cs="Arial"/>
          <w:b/>
          <w:bCs/>
          <w:sz w:val="32"/>
          <w:szCs w:val="32"/>
          <w:u w:val="single"/>
        </w:rPr>
        <w:t>i</w:t>
      </w:r>
      <w:r w:rsidR="00992E85" w:rsidRPr="0063770E">
        <w:rPr>
          <w:rFonts w:cs="Arial"/>
          <w:b/>
          <w:bCs/>
          <w:sz w:val="32"/>
          <w:szCs w:val="32"/>
          <w:u w:val="single"/>
        </w:rPr>
        <w:t xml:space="preserve">l piano alternativo </w:t>
      </w:r>
      <w:r w:rsidR="00344213" w:rsidRPr="0063770E">
        <w:rPr>
          <w:rFonts w:cs="Arial"/>
          <w:b/>
          <w:bCs/>
          <w:sz w:val="32"/>
          <w:szCs w:val="32"/>
          <w:u w:val="single"/>
        </w:rPr>
        <w:t>fondato sulla R</w:t>
      </w:r>
      <w:r w:rsidR="00992E85" w:rsidRPr="0063770E">
        <w:rPr>
          <w:rFonts w:cs="Arial"/>
          <w:b/>
          <w:bCs/>
          <w:sz w:val="32"/>
          <w:szCs w:val="32"/>
          <w:u w:val="single"/>
        </w:rPr>
        <w:t>CD</w:t>
      </w:r>
      <w:r w:rsidR="00344213" w:rsidRPr="0063770E">
        <w:rPr>
          <w:rFonts w:cs="Arial"/>
          <w:b/>
          <w:bCs/>
          <w:sz w:val="32"/>
          <w:szCs w:val="32"/>
          <w:u w:val="single"/>
        </w:rPr>
        <w:t>L</w:t>
      </w:r>
      <w:r w:rsidR="009D2E9D" w:rsidRPr="0063770E">
        <w:rPr>
          <w:rFonts w:cs="Arial"/>
          <w:b/>
          <w:bCs/>
          <w:sz w:val="32"/>
          <w:szCs w:val="32"/>
          <w:u w:val="single"/>
        </w:rPr>
        <w:t xml:space="preserve"> di 700 mio Fr</w:t>
      </w:r>
      <w:r w:rsidRPr="0063770E">
        <w:rPr>
          <w:rFonts w:cs="Arial"/>
          <w:b/>
          <w:bCs/>
          <w:sz w:val="32"/>
          <w:szCs w:val="32"/>
          <w:u w:val="single"/>
        </w:rPr>
        <w:t xml:space="preserve"> si riveli inefficace</w:t>
      </w:r>
    </w:p>
    <w:p w14:paraId="77E31E9D" w14:textId="77777777" w:rsidR="002839C4" w:rsidRPr="00AC63F5" w:rsidRDefault="002839C4" w:rsidP="00C4760E">
      <w:pPr>
        <w:rPr>
          <w:rFonts w:cs="Arial"/>
          <w:sz w:val="22"/>
          <w:szCs w:val="22"/>
        </w:rPr>
      </w:pPr>
    </w:p>
    <w:p w14:paraId="5F1A5DE0" w14:textId="77777777" w:rsidR="004613D4" w:rsidRPr="002B07F9" w:rsidRDefault="004613D4" w:rsidP="004613D4">
      <w:pPr>
        <w:shd w:val="clear" w:color="auto" w:fill="EEEEEE"/>
        <w:spacing w:after="150"/>
        <w:jc w:val="left"/>
        <w:rPr>
          <w:rFonts w:cs="Arial"/>
          <w:i/>
          <w:iCs/>
          <w:szCs w:val="24"/>
          <w:highlight w:val="darkGray"/>
          <w:lang w:val="it-CH" w:eastAsia="it-CH"/>
        </w:rPr>
      </w:pPr>
      <w:r w:rsidRPr="002B07F9">
        <w:rPr>
          <w:rFonts w:cs="Arial"/>
          <w:i/>
          <w:iCs/>
          <w:szCs w:val="24"/>
          <w:highlight w:val="darkGray"/>
          <w:lang w:val="it-CH" w:eastAsia="it-CH"/>
        </w:rPr>
        <w:t>Attribuzione all’Istituto di previdenza del Cantone Ticino (IPCT) di un contributo integrativo di CHF 500 mio per la copertura del costo supplementare delle garanzie di pensione concesse agli assicurati con più di 50 anni nell’ambito della riforma dell’IPCT entrata in vigore il 1° gennaio 2013; nuovo cpv. 5 dell’art. 16 della Lipct</w:t>
      </w:r>
    </w:p>
    <w:p w14:paraId="1190497F" w14:textId="77777777" w:rsidR="004613D4" w:rsidRPr="002B07F9" w:rsidRDefault="004613D4" w:rsidP="004613D4">
      <w:pPr>
        <w:shd w:val="clear" w:color="auto" w:fill="EEEEEE"/>
        <w:jc w:val="left"/>
        <w:rPr>
          <w:rFonts w:cs="Arial"/>
          <w:i/>
          <w:iCs/>
          <w:szCs w:val="24"/>
          <w:highlight w:val="darkGray"/>
          <w:lang w:val="it-CH" w:eastAsia="it-CH"/>
        </w:rPr>
      </w:pPr>
      <w:r w:rsidRPr="002B07F9">
        <w:rPr>
          <w:rFonts w:cs="Arial"/>
          <w:i/>
          <w:iCs/>
          <w:szCs w:val="24"/>
          <w:highlight w:val="darkGray"/>
          <w:lang w:val="it-CH" w:eastAsia="it-CH"/>
        </w:rPr>
        <w:t>-</w:t>
      </w:r>
      <w:hyperlink r:id="rId8" w:tgtFrame="_blank" w:history="1">
        <w:r w:rsidRPr="002B07F9">
          <w:rPr>
            <w:rFonts w:cs="Arial"/>
            <w:i/>
            <w:iCs/>
            <w:szCs w:val="24"/>
            <w:highlight w:val="darkGray"/>
            <w:u w:val="single"/>
            <w:lang w:val="it-CH" w:eastAsia="it-CH"/>
          </w:rPr>
          <w:t>Messaggio del 15 gennaio 2020 n. 7784</w:t>
        </w:r>
      </w:hyperlink>
    </w:p>
    <w:p w14:paraId="67604EEC" w14:textId="77777777" w:rsidR="004613D4" w:rsidRPr="002B07F9" w:rsidRDefault="004613D4" w:rsidP="004613D4">
      <w:pPr>
        <w:shd w:val="clear" w:color="auto" w:fill="EEEEEE"/>
        <w:jc w:val="left"/>
        <w:rPr>
          <w:rFonts w:cs="Arial"/>
          <w:i/>
          <w:iCs/>
          <w:szCs w:val="24"/>
          <w:highlight w:val="darkGray"/>
          <w:lang w:val="it-CH" w:eastAsia="it-CH"/>
        </w:rPr>
      </w:pPr>
      <w:r w:rsidRPr="002B07F9">
        <w:rPr>
          <w:rFonts w:cs="Arial"/>
          <w:i/>
          <w:iCs/>
          <w:szCs w:val="24"/>
          <w:highlight w:val="darkGray"/>
          <w:lang w:val="it-CH" w:eastAsia="it-CH"/>
        </w:rPr>
        <w:t>-</w:t>
      </w:r>
      <w:hyperlink r:id="rId9" w:tgtFrame="_blank" w:history="1">
        <w:r w:rsidRPr="002B07F9">
          <w:rPr>
            <w:rFonts w:cs="Arial"/>
            <w:i/>
            <w:iCs/>
            <w:szCs w:val="24"/>
            <w:highlight w:val="darkGray"/>
            <w:u w:val="single"/>
            <w:lang w:val="it-CH" w:eastAsia="it-CH"/>
          </w:rPr>
          <w:t>Rapporto complementare del 30 settembre 2021 n. 7784 C R</w:t>
        </w:r>
      </w:hyperlink>
    </w:p>
    <w:p w14:paraId="74C0A001" w14:textId="77777777" w:rsidR="004613D4" w:rsidRPr="002B07F9" w:rsidRDefault="004613D4" w:rsidP="004613D4">
      <w:pPr>
        <w:shd w:val="clear" w:color="auto" w:fill="EEEEEE"/>
        <w:jc w:val="left"/>
        <w:rPr>
          <w:rFonts w:cs="Arial"/>
          <w:i/>
          <w:iCs/>
          <w:szCs w:val="24"/>
          <w:lang w:val="it-CH" w:eastAsia="it-CH"/>
        </w:rPr>
      </w:pPr>
      <w:r w:rsidRPr="002B07F9">
        <w:rPr>
          <w:rFonts w:cs="Arial"/>
          <w:i/>
          <w:iCs/>
          <w:szCs w:val="24"/>
          <w:highlight w:val="darkGray"/>
          <w:lang w:val="it-CH" w:eastAsia="it-CH"/>
        </w:rPr>
        <w:t>-</w:t>
      </w:r>
      <w:hyperlink r:id="rId10" w:tgtFrame="_blank" w:history="1">
        <w:r w:rsidRPr="002B07F9">
          <w:rPr>
            <w:rFonts w:cs="Arial"/>
            <w:i/>
            <w:iCs/>
            <w:szCs w:val="24"/>
            <w:highlight w:val="darkGray"/>
            <w:u w:val="single"/>
            <w:lang w:val="it-CH" w:eastAsia="it-CH"/>
          </w:rPr>
          <w:t>Rapporto del 29 marzo 2022 n. 7784 R / 7784 C R</w:t>
        </w:r>
      </w:hyperlink>
      <w:r w:rsidR="00BB5BB6" w:rsidRPr="002B07F9">
        <w:rPr>
          <w:rFonts w:cs="Arial"/>
          <w:i/>
          <w:iCs/>
          <w:szCs w:val="24"/>
          <w:highlight w:val="darkGray"/>
          <w:lang w:val="it-CH" w:eastAsia="it-CH"/>
        </w:rPr>
        <w:t xml:space="preserve"> </w:t>
      </w:r>
      <w:r w:rsidRPr="002B07F9">
        <w:rPr>
          <w:rFonts w:cs="Arial"/>
          <w:i/>
          <w:iCs/>
          <w:szCs w:val="24"/>
          <w:highlight w:val="darkGray"/>
          <w:lang w:val="it-CH" w:eastAsia="it-CH"/>
        </w:rPr>
        <w:t>relatori: Michele Guerra (coordinatore), Samantha Bourgoin, Fiorenzo Dadò, Ivo Durisch, Alessandra Gianella e Paolo Pamini</w:t>
      </w:r>
    </w:p>
    <w:p w14:paraId="1CC73243" w14:textId="77777777" w:rsidR="002839C4" w:rsidRPr="007C5CB1" w:rsidRDefault="002839C4" w:rsidP="00C4760E">
      <w:pPr>
        <w:rPr>
          <w:rFonts w:cs="Arial"/>
          <w:szCs w:val="24"/>
        </w:rPr>
      </w:pPr>
    </w:p>
    <w:p w14:paraId="20DFFD66" w14:textId="77777777" w:rsidR="002839C4" w:rsidRPr="007C5CB1" w:rsidRDefault="002839C4" w:rsidP="00C4760E">
      <w:pPr>
        <w:rPr>
          <w:rFonts w:cs="Arial"/>
          <w:szCs w:val="24"/>
        </w:rPr>
      </w:pPr>
    </w:p>
    <w:p w14:paraId="4C08E95A" w14:textId="77777777" w:rsidR="004613D4" w:rsidRPr="007C5CB1" w:rsidRDefault="004613D4" w:rsidP="004613D4">
      <w:pPr>
        <w:shd w:val="clear" w:color="auto" w:fill="FFFFFF"/>
        <w:ind w:right="187"/>
        <w:rPr>
          <w:rFonts w:cs="Arial"/>
          <w:b/>
          <w:bCs/>
          <w:color w:val="000000"/>
          <w:szCs w:val="24"/>
          <w:lang w:val="it-CH" w:eastAsia="it-CH"/>
        </w:rPr>
      </w:pPr>
      <w:r w:rsidRPr="007C5CB1">
        <w:rPr>
          <w:rFonts w:cs="Arial"/>
          <w:b/>
          <w:bCs/>
          <w:szCs w:val="24"/>
        </w:rPr>
        <w:t xml:space="preserve">1. Premesso che il </w:t>
      </w:r>
      <w:r w:rsidR="00AC63F5" w:rsidRPr="007C5CB1">
        <w:rPr>
          <w:rFonts w:cs="Arial"/>
          <w:b/>
          <w:bCs/>
          <w:szCs w:val="24"/>
        </w:rPr>
        <w:t xml:space="preserve">Gran Consiglio del </w:t>
      </w:r>
      <w:r w:rsidRPr="007C5CB1">
        <w:rPr>
          <w:rFonts w:cs="Arial"/>
          <w:b/>
          <w:bCs/>
          <w:szCs w:val="24"/>
        </w:rPr>
        <w:t>Canton Ticino in virtù dell</w:t>
      </w:r>
      <w:r w:rsidR="00AC63F5" w:rsidRPr="007C5CB1">
        <w:rPr>
          <w:rFonts w:cs="Arial"/>
          <w:b/>
          <w:bCs/>
          <w:szCs w:val="24"/>
        </w:rPr>
        <w:t>a</w:t>
      </w:r>
      <w:r w:rsidRPr="007C5CB1">
        <w:rPr>
          <w:rFonts w:cs="Arial"/>
          <w:b/>
          <w:bCs/>
          <w:szCs w:val="24"/>
        </w:rPr>
        <w:t xml:space="preserve"> norm</w:t>
      </w:r>
      <w:r w:rsidR="00AC63F5" w:rsidRPr="007C5CB1">
        <w:rPr>
          <w:rFonts w:cs="Arial"/>
          <w:b/>
          <w:bCs/>
          <w:szCs w:val="24"/>
        </w:rPr>
        <w:t>a</w:t>
      </w:r>
      <w:r w:rsidRPr="007C5CB1">
        <w:rPr>
          <w:rFonts w:cs="Arial"/>
          <w:b/>
          <w:bCs/>
          <w:szCs w:val="24"/>
        </w:rPr>
        <w:t xml:space="preserve"> transitori</w:t>
      </w:r>
      <w:r w:rsidR="00AC63F5" w:rsidRPr="007C5CB1">
        <w:rPr>
          <w:rFonts w:cs="Arial"/>
          <w:b/>
          <w:bCs/>
          <w:szCs w:val="24"/>
        </w:rPr>
        <w:t>a</w:t>
      </w:r>
      <w:r w:rsidRPr="007C5CB1">
        <w:rPr>
          <w:rFonts w:cs="Arial"/>
          <w:b/>
          <w:bCs/>
          <w:szCs w:val="24"/>
        </w:rPr>
        <w:t xml:space="preserve"> dell’art. 24 legge</w:t>
      </w:r>
      <w:r w:rsidR="00AC63F5" w:rsidRPr="007C5CB1">
        <w:rPr>
          <w:rFonts w:cs="Arial"/>
          <w:b/>
          <w:bCs/>
          <w:szCs w:val="24"/>
        </w:rPr>
        <w:t xml:space="preserve"> sull’Istituto di previdenza del Canton Ticino IPCT</w:t>
      </w:r>
      <w:r w:rsidRPr="007C5CB1">
        <w:rPr>
          <w:rFonts w:cs="Arial"/>
          <w:b/>
          <w:bCs/>
          <w:szCs w:val="24"/>
        </w:rPr>
        <w:t xml:space="preserve"> in vigore dal 1.1.2013 </w:t>
      </w:r>
      <w:r w:rsidR="00AC63F5" w:rsidRPr="007C5CB1">
        <w:rPr>
          <w:rFonts w:cs="Arial"/>
          <w:b/>
          <w:bCs/>
          <w:szCs w:val="24"/>
        </w:rPr>
        <w:t>ha garantito</w:t>
      </w:r>
      <w:r w:rsidRPr="007C5CB1">
        <w:rPr>
          <w:rFonts w:cs="Arial"/>
          <w:b/>
          <w:bCs/>
          <w:szCs w:val="24"/>
        </w:rPr>
        <w:t xml:space="preserve"> i diritti acquisiti </w:t>
      </w:r>
      <w:r w:rsidR="00AC63F5" w:rsidRPr="007C5CB1">
        <w:rPr>
          <w:rFonts w:cs="Arial"/>
          <w:b/>
          <w:bCs/>
          <w:szCs w:val="24"/>
        </w:rPr>
        <w:t>alle assicurate e a</w:t>
      </w:r>
      <w:r w:rsidRPr="007C5CB1">
        <w:rPr>
          <w:rFonts w:cs="Arial"/>
          <w:b/>
          <w:bCs/>
          <w:color w:val="000000"/>
          <w:szCs w:val="24"/>
          <w:lang w:val="it-CH" w:eastAsia="it-CH"/>
        </w:rPr>
        <w:t xml:space="preserve">gli assicurati IPCT che al 31 dicembre 2012 avevano un’età di 50 anni o più, in caso di pensionamento anticipato o vecchiaia a 58, 59, 60, 61, 62, 63, 64 e 65 anni, dopo l’entrata in vigore della modifica di legge al 1.1.2013: </w:t>
      </w:r>
      <w:r w:rsidR="00AC63F5" w:rsidRPr="007C5CB1">
        <w:rPr>
          <w:rFonts w:cs="Arial"/>
          <w:b/>
          <w:bCs/>
          <w:color w:val="000000"/>
          <w:szCs w:val="24"/>
          <w:lang w:val="it-CH" w:eastAsia="it-CH"/>
        </w:rPr>
        <w:t>segnatamente ha</w:t>
      </w:r>
      <w:r w:rsidRPr="007C5CB1">
        <w:rPr>
          <w:rFonts w:cs="Arial"/>
          <w:b/>
          <w:bCs/>
          <w:color w:val="000000"/>
          <w:szCs w:val="24"/>
          <w:lang w:val="it-CH" w:eastAsia="it-CH"/>
        </w:rPr>
        <w:t xml:space="preserve"> garantito l’importo annuo di pensione stabilito al 31 dicembre 2012;</w:t>
      </w:r>
    </w:p>
    <w:p w14:paraId="0CECFD7C" w14:textId="77777777" w:rsidR="004613D4" w:rsidRPr="007C5CB1" w:rsidRDefault="004613D4" w:rsidP="004613D4">
      <w:pPr>
        <w:shd w:val="clear" w:color="auto" w:fill="FFFFFF"/>
        <w:ind w:right="187"/>
        <w:rPr>
          <w:rFonts w:cs="Arial"/>
          <w:b/>
          <w:bCs/>
          <w:color w:val="000000"/>
          <w:szCs w:val="24"/>
          <w:lang w:val="it-CH" w:eastAsia="it-CH"/>
        </w:rPr>
      </w:pPr>
    </w:p>
    <w:p w14:paraId="7AC54513" w14:textId="7C4C1EC0" w:rsidR="004613D4" w:rsidRPr="007C5CB1" w:rsidRDefault="004613D4" w:rsidP="004613D4">
      <w:pPr>
        <w:shd w:val="clear" w:color="auto" w:fill="FFFFFF"/>
        <w:ind w:right="187"/>
        <w:rPr>
          <w:rFonts w:cs="Arial"/>
          <w:b/>
          <w:bCs/>
          <w:color w:val="000000"/>
          <w:szCs w:val="24"/>
          <w:lang w:val="it-CH" w:eastAsia="it-CH"/>
        </w:rPr>
      </w:pPr>
      <w:r w:rsidRPr="007C5CB1">
        <w:rPr>
          <w:rFonts w:cs="Arial"/>
          <w:b/>
          <w:bCs/>
          <w:color w:val="000000"/>
          <w:szCs w:val="24"/>
          <w:lang w:val="it-CH" w:eastAsia="it-CH"/>
        </w:rPr>
        <w:t>2. ritenuto che non è possibile far pagare</w:t>
      </w:r>
      <w:r w:rsidR="00AC63F5" w:rsidRPr="007C5CB1">
        <w:rPr>
          <w:rFonts w:cs="Arial"/>
          <w:b/>
          <w:bCs/>
          <w:color w:val="000000"/>
          <w:szCs w:val="24"/>
          <w:lang w:val="it-CH" w:eastAsia="it-CH"/>
        </w:rPr>
        <w:t xml:space="preserve"> parte di</w:t>
      </w:r>
      <w:r w:rsidRPr="007C5CB1">
        <w:rPr>
          <w:rFonts w:cs="Arial"/>
          <w:b/>
          <w:bCs/>
          <w:color w:val="000000"/>
          <w:szCs w:val="24"/>
          <w:lang w:val="it-CH" w:eastAsia="it-CH"/>
        </w:rPr>
        <w:t xml:space="preserve"> queste garanzie </w:t>
      </w:r>
      <w:r w:rsidR="00AC63F5" w:rsidRPr="007C5CB1">
        <w:rPr>
          <w:rFonts w:cs="Arial"/>
          <w:b/>
          <w:bCs/>
          <w:color w:val="000000"/>
          <w:szCs w:val="24"/>
          <w:lang w:val="it-CH" w:eastAsia="it-CH"/>
        </w:rPr>
        <w:t>a</w:t>
      </w:r>
      <w:r w:rsidR="00DD70B9" w:rsidRPr="007C5CB1">
        <w:rPr>
          <w:rFonts w:cs="Arial"/>
          <w:b/>
          <w:bCs/>
          <w:color w:val="000000"/>
          <w:szCs w:val="24"/>
          <w:lang w:val="it-CH" w:eastAsia="it-CH"/>
        </w:rPr>
        <w:t xml:space="preserve"> 15’000</w:t>
      </w:r>
      <w:r w:rsidR="00AC63F5" w:rsidRPr="007C5CB1">
        <w:rPr>
          <w:rFonts w:cs="Arial"/>
          <w:b/>
          <w:bCs/>
          <w:color w:val="000000"/>
          <w:szCs w:val="24"/>
          <w:lang w:val="it-CH" w:eastAsia="it-CH"/>
        </w:rPr>
        <w:t xml:space="preserve"> assicurate e </w:t>
      </w:r>
      <w:r w:rsidRPr="007C5CB1">
        <w:rPr>
          <w:rFonts w:cs="Arial"/>
          <w:b/>
          <w:bCs/>
          <w:color w:val="000000"/>
          <w:szCs w:val="24"/>
          <w:lang w:val="it-CH" w:eastAsia="it-CH"/>
        </w:rPr>
        <w:t xml:space="preserve">assicurati </w:t>
      </w:r>
      <w:r w:rsidR="00DD70B9" w:rsidRPr="007C5CB1">
        <w:rPr>
          <w:rFonts w:cs="Arial"/>
          <w:b/>
          <w:bCs/>
          <w:color w:val="000000"/>
          <w:szCs w:val="24"/>
          <w:lang w:val="it-CH" w:eastAsia="it-CH"/>
        </w:rPr>
        <w:t xml:space="preserve">(impiegati, docenti cantonali, docenti comunali, operatori sociosanitari </w:t>
      </w:r>
      <w:r w:rsidR="002B07F9">
        <w:rPr>
          <w:rFonts w:cs="Arial"/>
          <w:b/>
          <w:bCs/>
          <w:color w:val="000000"/>
          <w:szCs w:val="24"/>
          <w:lang w:val="it-CH" w:eastAsia="it-CH"/>
        </w:rPr>
        <w:t xml:space="preserve">e altri dipendenti </w:t>
      </w:r>
      <w:r w:rsidR="00DD70B9" w:rsidRPr="007C5CB1">
        <w:rPr>
          <w:rFonts w:cs="Arial"/>
          <w:b/>
          <w:bCs/>
          <w:color w:val="000000"/>
          <w:szCs w:val="24"/>
          <w:lang w:val="it-CH" w:eastAsia="it-CH"/>
        </w:rPr>
        <w:t xml:space="preserve">di enti affiliati all’IPCT) </w:t>
      </w:r>
      <w:r w:rsidRPr="007C5CB1">
        <w:rPr>
          <w:rFonts w:cs="Arial"/>
          <w:b/>
          <w:bCs/>
          <w:color w:val="000000"/>
          <w:szCs w:val="24"/>
          <w:lang w:val="it-CH" w:eastAsia="it-CH"/>
        </w:rPr>
        <w:t>che non ne beneficiano,</w:t>
      </w:r>
      <w:r w:rsidR="00BB5BB6" w:rsidRPr="007C5CB1">
        <w:rPr>
          <w:rFonts w:cs="Arial"/>
          <w:b/>
          <w:bCs/>
          <w:color w:val="000000"/>
          <w:szCs w:val="24"/>
          <w:lang w:val="it-CH" w:eastAsia="it-CH"/>
        </w:rPr>
        <w:t xml:space="preserve"> ossia che </w:t>
      </w:r>
      <w:r w:rsidRPr="007C5CB1">
        <w:rPr>
          <w:rFonts w:cs="Arial"/>
          <w:b/>
          <w:bCs/>
          <w:color w:val="000000"/>
          <w:szCs w:val="24"/>
          <w:lang w:val="it-CH" w:eastAsia="it-CH"/>
        </w:rPr>
        <w:t>al 31 dicembre 2012 avevano un’età di meno di 50 anni</w:t>
      </w:r>
      <w:r w:rsidR="00AC63F5" w:rsidRPr="007C5CB1">
        <w:rPr>
          <w:rFonts w:cs="Arial"/>
          <w:b/>
          <w:bCs/>
          <w:color w:val="000000"/>
          <w:szCs w:val="24"/>
          <w:lang w:val="it-CH" w:eastAsia="it-CH"/>
        </w:rPr>
        <w:t xml:space="preserve"> o </w:t>
      </w:r>
      <w:r w:rsidR="00BB5BB6" w:rsidRPr="007C5CB1">
        <w:rPr>
          <w:rFonts w:cs="Arial"/>
          <w:b/>
          <w:bCs/>
          <w:color w:val="000000"/>
          <w:szCs w:val="24"/>
          <w:lang w:val="it-CH" w:eastAsia="it-CH"/>
        </w:rPr>
        <w:t>che s</w:t>
      </w:r>
      <w:r w:rsidR="00AC63F5" w:rsidRPr="007C5CB1">
        <w:rPr>
          <w:rFonts w:cs="Arial"/>
          <w:b/>
          <w:bCs/>
          <w:color w:val="000000"/>
          <w:szCs w:val="24"/>
          <w:lang w:val="it-CH" w:eastAsia="it-CH"/>
        </w:rPr>
        <w:t>ono stati assicurati successivamente dall’IPCT (assicurati in primato di contributi senza garanzie);</w:t>
      </w:r>
    </w:p>
    <w:p w14:paraId="7CF7F198" w14:textId="77777777" w:rsidR="000A2718" w:rsidRPr="007C5CB1" w:rsidRDefault="000A2718" w:rsidP="004613D4">
      <w:pPr>
        <w:shd w:val="clear" w:color="auto" w:fill="FFFFFF"/>
        <w:ind w:right="187"/>
        <w:rPr>
          <w:rFonts w:cs="Arial"/>
          <w:b/>
          <w:bCs/>
          <w:color w:val="000000"/>
          <w:szCs w:val="24"/>
          <w:lang w:val="it-CH" w:eastAsia="it-CH"/>
        </w:rPr>
      </w:pPr>
    </w:p>
    <w:p w14:paraId="4EFC529F" w14:textId="77777777" w:rsidR="000A2718" w:rsidRPr="007C5CB1" w:rsidRDefault="000A2718" w:rsidP="004613D4">
      <w:pPr>
        <w:shd w:val="clear" w:color="auto" w:fill="FFFFFF"/>
        <w:ind w:right="187"/>
        <w:rPr>
          <w:b/>
          <w:bCs/>
          <w:szCs w:val="24"/>
        </w:rPr>
      </w:pPr>
      <w:r w:rsidRPr="007C5CB1">
        <w:rPr>
          <w:b/>
          <w:bCs/>
          <w:szCs w:val="24"/>
        </w:rPr>
        <w:t>3. ricordando quanto indicato al punto 4.2 dal messaggio 7784: “</w:t>
      </w:r>
      <w:r w:rsidRPr="007C5CB1">
        <w:rPr>
          <w:b/>
          <w:bCs/>
          <w:i/>
          <w:iCs/>
          <w:szCs w:val="24"/>
        </w:rPr>
        <w:t>Le disposizioni transitorie della modifica del 17 dicembre 2010 (Finanziamento degli istituti di previdenza degli enti di diritto pubblico) alla lettera c cpv. 2 prevedono che “Se il grado di copertura è inferiore al 60% dal 1° gennaio 2020 e al 75% dal 1° gennaio 2030, gli enti di diritto pubblico versano ai loro istituti di previdenza, sulla differenza, gli interessi di cui all’art. 15 capoverso 2” (il tasso di interesse minimo LPP).</w:t>
      </w:r>
      <w:r w:rsidRPr="007C5CB1">
        <w:rPr>
          <w:b/>
          <w:bCs/>
          <w:szCs w:val="24"/>
        </w:rPr>
        <w:t>”;</w:t>
      </w:r>
    </w:p>
    <w:p w14:paraId="40FA8816" w14:textId="77777777" w:rsidR="004613D4" w:rsidRPr="007C5CB1" w:rsidRDefault="004613D4" w:rsidP="004613D4">
      <w:pPr>
        <w:shd w:val="clear" w:color="auto" w:fill="FFFFFF"/>
        <w:ind w:right="187"/>
        <w:rPr>
          <w:rFonts w:cs="Arial"/>
          <w:b/>
          <w:bCs/>
          <w:color w:val="000000"/>
          <w:szCs w:val="24"/>
          <w:lang w:val="it-CH" w:eastAsia="it-CH"/>
        </w:rPr>
      </w:pPr>
    </w:p>
    <w:p w14:paraId="6643842A" w14:textId="028B4CED" w:rsidR="004613D4" w:rsidRPr="007C5CB1" w:rsidRDefault="000A2718" w:rsidP="004613D4">
      <w:pPr>
        <w:shd w:val="clear" w:color="auto" w:fill="FFFFFF"/>
        <w:ind w:right="187"/>
        <w:rPr>
          <w:rFonts w:cs="Arial"/>
          <w:b/>
          <w:bCs/>
          <w:color w:val="000000"/>
          <w:szCs w:val="24"/>
          <w:lang w:val="it-CH" w:eastAsia="it-CH"/>
        </w:rPr>
      </w:pPr>
      <w:r w:rsidRPr="007C5CB1">
        <w:rPr>
          <w:rFonts w:cs="Arial"/>
          <w:b/>
          <w:bCs/>
          <w:color w:val="000000"/>
          <w:szCs w:val="24"/>
          <w:lang w:val="it-CH" w:eastAsia="it-CH"/>
        </w:rPr>
        <w:t>4</w:t>
      </w:r>
      <w:r w:rsidR="004613D4" w:rsidRPr="007C5CB1">
        <w:rPr>
          <w:rFonts w:cs="Arial"/>
          <w:b/>
          <w:bCs/>
          <w:color w:val="000000"/>
          <w:szCs w:val="24"/>
          <w:lang w:val="it-CH" w:eastAsia="it-CH"/>
        </w:rPr>
        <w:t xml:space="preserve">. ritenendo </w:t>
      </w:r>
      <w:r w:rsidR="0008755F" w:rsidRPr="007C5CB1">
        <w:rPr>
          <w:rFonts w:cs="Arial"/>
          <w:b/>
          <w:bCs/>
          <w:color w:val="000000"/>
          <w:szCs w:val="24"/>
          <w:lang w:val="it-CH" w:eastAsia="it-CH"/>
        </w:rPr>
        <w:t xml:space="preserve">necessario </w:t>
      </w:r>
      <w:r w:rsidR="0008755F" w:rsidRPr="007C5CB1">
        <w:rPr>
          <w:rFonts w:cs="Arial"/>
          <w:b/>
          <w:bCs/>
          <w:color w:val="000000"/>
          <w:szCs w:val="24"/>
          <w:u w:val="single"/>
          <w:lang w:val="it-CH" w:eastAsia="it-CH"/>
        </w:rPr>
        <w:t xml:space="preserve">rafforzare </w:t>
      </w:r>
      <w:r w:rsidR="004613D4" w:rsidRPr="007C5CB1">
        <w:rPr>
          <w:rFonts w:cs="Arial"/>
          <w:b/>
          <w:bCs/>
          <w:color w:val="000000"/>
          <w:szCs w:val="24"/>
          <w:u w:val="single"/>
          <w:lang w:val="it-CH" w:eastAsia="it-CH"/>
        </w:rPr>
        <w:t>la soluzione</w:t>
      </w:r>
      <w:r w:rsidR="004613D4" w:rsidRPr="007C5CB1">
        <w:rPr>
          <w:rFonts w:cs="Arial"/>
          <w:b/>
          <w:bCs/>
          <w:color w:val="000000"/>
          <w:szCs w:val="24"/>
          <w:lang w:val="it-CH" w:eastAsia="it-CH"/>
        </w:rPr>
        <w:t xml:space="preserve"> del rapporto complementare del Consiglio di Stato al messaggio governativo 7784</w:t>
      </w:r>
      <w:r w:rsidR="00551E26" w:rsidRPr="007C5CB1">
        <w:rPr>
          <w:rFonts w:cs="Arial"/>
          <w:b/>
          <w:bCs/>
          <w:color w:val="000000"/>
          <w:szCs w:val="24"/>
          <w:lang w:val="it-CH" w:eastAsia="it-CH"/>
        </w:rPr>
        <w:t xml:space="preserve"> e del rapporto commissionale</w:t>
      </w:r>
      <w:r w:rsidR="004613D4" w:rsidRPr="007C5CB1">
        <w:rPr>
          <w:rFonts w:cs="Arial"/>
          <w:b/>
          <w:bCs/>
          <w:color w:val="000000"/>
          <w:szCs w:val="24"/>
          <w:lang w:val="it-CH" w:eastAsia="it-CH"/>
        </w:rPr>
        <w:t xml:space="preserve"> che libera</w:t>
      </w:r>
      <w:r w:rsidR="00551E26" w:rsidRPr="007C5CB1">
        <w:rPr>
          <w:rFonts w:cs="Arial"/>
          <w:b/>
          <w:bCs/>
          <w:color w:val="000000"/>
          <w:szCs w:val="24"/>
          <w:lang w:val="it-CH" w:eastAsia="it-CH"/>
        </w:rPr>
        <w:t>no</w:t>
      </w:r>
      <w:r w:rsidR="004613D4" w:rsidRPr="007C5CB1">
        <w:rPr>
          <w:rFonts w:cs="Arial"/>
          <w:b/>
          <w:bCs/>
          <w:color w:val="000000"/>
          <w:szCs w:val="24"/>
          <w:lang w:val="it-CH" w:eastAsia="it-CH"/>
        </w:rPr>
        <w:t xml:space="preserve"> una riserva di contributi del datore di lavoro</w:t>
      </w:r>
      <w:r w:rsidR="0063770E">
        <w:rPr>
          <w:rFonts w:cs="Arial"/>
          <w:b/>
          <w:bCs/>
          <w:color w:val="000000"/>
          <w:szCs w:val="24"/>
          <w:lang w:val="it-CH" w:eastAsia="it-CH"/>
        </w:rPr>
        <w:t xml:space="preserve"> per 700 mio. Fr</w:t>
      </w:r>
      <w:r w:rsidR="00216909" w:rsidRPr="007C5CB1">
        <w:rPr>
          <w:rFonts w:cs="Arial"/>
          <w:b/>
          <w:bCs/>
          <w:color w:val="000000"/>
          <w:szCs w:val="24"/>
          <w:lang w:val="it-CH" w:eastAsia="it-CH"/>
        </w:rPr>
        <w:t xml:space="preserve"> e</w:t>
      </w:r>
      <w:r w:rsidR="0008755F" w:rsidRPr="007C5CB1">
        <w:rPr>
          <w:rFonts w:cs="Arial"/>
          <w:b/>
          <w:bCs/>
          <w:color w:val="000000"/>
          <w:szCs w:val="24"/>
          <w:lang w:val="it-CH" w:eastAsia="it-CH"/>
        </w:rPr>
        <w:t xml:space="preserve"> </w:t>
      </w:r>
      <w:r w:rsidR="0008755F" w:rsidRPr="007C5CB1">
        <w:rPr>
          <w:rFonts w:cs="Arial"/>
          <w:b/>
          <w:bCs/>
          <w:color w:val="000000"/>
          <w:szCs w:val="24"/>
          <w:u w:val="single"/>
          <w:lang w:val="it-CH" w:eastAsia="it-CH"/>
        </w:rPr>
        <w:t>mettere al sicur</w:t>
      </w:r>
      <w:r w:rsidR="00551E26" w:rsidRPr="007C5CB1">
        <w:rPr>
          <w:rFonts w:cs="Arial"/>
          <w:b/>
          <w:bCs/>
          <w:color w:val="000000"/>
          <w:szCs w:val="24"/>
          <w:u w:val="single"/>
          <w:lang w:val="it-CH" w:eastAsia="it-CH"/>
        </w:rPr>
        <w:t xml:space="preserve">o </w:t>
      </w:r>
      <w:r w:rsidR="0008755F" w:rsidRPr="007C5CB1">
        <w:rPr>
          <w:rFonts w:cs="Arial"/>
          <w:b/>
          <w:bCs/>
          <w:color w:val="000000"/>
          <w:szCs w:val="24"/>
          <w:u w:val="single"/>
          <w:lang w:val="it-CH" w:eastAsia="it-CH"/>
        </w:rPr>
        <w:t>da rischi finanziari</w:t>
      </w:r>
      <w:r w:rsidR="009D2E9D" w:rsidRPr="007C5CB1">
        <w:rPr>
          <w:rFonts w:cs="Arial"/>
          <w:b/>
          <w:bCs/>
          <w:color w:val="000000"/>
          <w:szCs w:val="24"/>
          <w:lang w:val="it-CH" w:eastAsia="it-CH"/>
        </w:rPr>
        <w:t xml:space="preserve"> nei prossimi </w:t>
      </w:r>
      <w:bookmarkStart w:id="0" w:name="_Hlk100266305"/>
      <w:r w:rsidR="009D2E9D" w:rsidRPr="007C5CB1">
        <w:rPr>
          <w:rFonts w:cs="Arial"/>
          <w:b/>
          <w:bCs/>
          <w:color w:val="000000"/>
          <w:szCs w:val="24"/>
          <w:lang w:val="it-CH" w:eastAsia="it-CH"/>
        </w:rPr>
        <w:t>9 anni</w:t>
      </w:r>
      <w:r w:rsidR="0008755F" w:rsidRPr="007C5CB1">
        <w:rPr>
          <w:rFonts w:cs="Arial"/>
          <w:b/>
          <w:bCs/>
          <w:color w:val="000000"/>
          <w:szCs w:val="24"/>
          <w:lang w:val="it-CH" w:eastAsia="it-CH"/>
        </w:rPr>
        <w:t xml:space="preserve"> </w:t>
      </w:r>
      <w:r w:rsidR="009C3678">
        <w:rPr>
          <w:rFonts w:cs="Arial"/>
          <w:b/>
          <w:bCs/>
          <w:color w:val="000000"/>
          <w:szCs w:val="24"/>
          <w:lang w:val="it-CH" w:eastAsia="it-CH"/>
        </w:rPr>
        <w:t>le/</w:t>
      </w:r>
      <w:r w:rsidR="00DD70B9" w:rsidRPr="007C5CB1">
        <w:rPr>
          <w:rFonts w:cs="Arial"/>
          <w:b/>
          <w:bCs/>
          <w:color w:val="000000"/>
          <w:szCs w:val="24"/>
          <w:lang w:val="it-CH" w:eastAsia="it-CH"/>
        </w:rPr>
        <w:t>i 15'000 assicurati dell</w:t>
      </w:r>
      <w:r w:rsidR="0008755F" w:rsidRPr="007C5CB1">
        <w:rPr>
          <w:rFonts w:cs="Arial"/>
          <w:b/>
          <w:bCs/>
          <w:color w:val="000000"/>
          <w:szCs w:val="24"/>
          <w:lang w:val="it-CH" w:eastAsia="it-CH"/>
        </w:rPr>
        <w:t>’IPCT</w:t>
      </w:r>
      <w:r w:rsidR="00DD70B9" w:rsidRPr="007C5CB1">
        <w:rPr>
          <w:rFonts w:cs="Arial"/>
          <w:b/>
          <w:bCs/>
          <w:color w:val="000000"/>
          <w:szCs w:val="24"/>
          <w:lang w:val="it-CH" w:eastAsia="it-CH"/>
        </w:rPr>
        <w:t xml:space="preserve"> senza garanzie e l’IPCT stesso</w:t>
      </w:r>
      <w:r w:rsidR="0008755F" w:rsidRPr="007C5CB1">
        <w:rPr>
          <w:rFonts w:cs="Arial"/>
          <w:b/>
          <w:bCs/>
          <w:color w:val="000000"/>
          <w:szCs w:val="24"/>
          <w:lang w:val="it-CH" w:eastAsia="it-CH"/>
        </w:rPr>
        <w:t xml:space="preserve">, che non </w:t>
      </w:r>
      <w:r w:rsidR="00DD1ABA" w:rsidRPr="007C5CB1">
        <w:rPr>
          <w:rFonts w:cs="Arial"/>
          <w:b/>
          <w:bCs/>
          <w:color w:val="000000"/>
          <w:szCs w:val="24"/>
          <w:lang w:val="it-CH" w:eastAsia="it-CH"/>
        </w:rPr>
        <w:t>ha</w:t>
      </w:r>
      <w:r w:rsidR="00992E85" w:rsidRPr="007C5CB1">
        <w:rPr>
          <w:rFonts w:cs="Arial"/>
          <w:b/>
          <w:bCs/>
          <w:color w:val="000000"/>
          <w:szCs w:val="24"/>
          <w:lang w:val="it-CH" w:eastAsia="it-CH"/>
        </w:rPr>
        <w:t>nno</w:t>
      </w:r>
      <w:r w:rsidR="0008755F" w:rsidRPr="007C5CB1">
        <w:rPr>
          <w:rFonts w:cs="Arial"/>
          <w:b/>
          <w:bCs/>
          <w:color w:val="000000"/>
          <w:szCs w:val="24"/>
          <w:lang w:val="it-CH" w:eastAsia="it-CH"/>
        </w:rPr>
        <w:t xml:space="preserve"> responsabil</w:t>
      </w:r>
      <w:r w:rsidR="00DD1ABA" w:rsidRPr="007C5CB1">
        <w:rPr>
          <w:rFonts w:cs="Arial"/>
          <w:b/>
          <w:bCs/>
          <w:color w:val="000000"/>
          <w:szCs w:val="24"/>
          <w:lang w:val="it-CH" w:eastAsia="it-CH"/>
        </w:rPr>
        <w:t>ità di sorta ne</w:t>
      </w:r>
      <w:r w:rsidR="0008755F" w:rsidRPr="007C5CB1">
        <w:rPr>
          <w:rFonts w:cs="Arial"/>
          <w:b/>
          <w:bCs/>
          <w:color w:val="000000"/>
          <w:szCs w:val="24"/>
          <w:lang w:val="it-CH" w:eastAsia="it-CH"/>
        </w:rPr>
        <w:t xml:space="preserve">l </w:t>
      </w:r>
      <w:r w:rsidR="004613D4" w:rsidRPr="007C5CB1">
        <w:rPr>
          <w:rFonts w:cs="Arial"/>
          <w:b/>
          <w:bCs/>
          <w:color w:val="000000"/>
          <w:szCs w:val="24"/>
          <w:lang w:val="it-CH" w:eastAsia="it-CH"/>
        </w:rPr>
        <w:t xml:space="preserve">problema del finanziamento </w:t>
      </w:r>
      <w:r w:rsidR="00992E85" w:rsidRPr="007C5CB1">
        <w:rPr>
          <w:rFonts w:cs="Arial"/>
          <w:b/>
          <w:bCs/>
          <w:color w:val="000000"/>
          <w:szCs w:val="24"/>
          <w:lang w:val="it-CH" w:eastAsia="it-CH"/>
        </w:rPr>
        <w:t xml:space="preserve">delle garanzie </w:t>
      </w:r>
      <w:r w:rsidR="00AC63F5" w:rsidRPr="007C5CB1">
        <w:rPr>
          <w:rFonts w:cs="Arial"/>
          <w:b/>
          <w:bCs/>
          <w:color w:val="000000"/>
          <w:szCs w:val="24"/>
          <w:lang w:val="it-CH" w:eastAsia="it-CH"/>
        </w:rPr>
        <w:t>determinat</w:t>
      </w:r>
      <w:r w:rsidR="00992E85" w:rsidRPr="007C5CB1">
        <w:rPr>
          <w:rFonts w:cs="Arial"/>
          <w:b/>
          <w:bCs/>
          <w:color w:val="000000"/>
          <w:szCs w:val="24"/>
          <w:lang w:val="it-CH" w:eastAsia="it-CH"/>
        </w:rPr>
        <w:t>e</w:t>
      </w:r>
      <w:r w:rsidR="00AC63F5" w:rsidRPr="007C5CB1">
        <w:rPr>
          <w:rFonts w:cs="Arial"/>
          <w:b/>
          <w:bCs/>
          <w:color w:val="000000"/>
          <w:szCs w:val="24"/>
          <w:lang w:val="it-CH" w:eastAsia="it-CH"/>
        </w:rPr>
        <w:t xml:space="preserve"> dalla norma transitoria dall’art. 24 legge IPCT</w:t>
      </w:r>
      <w:r w:rsidRPr="007C5CB1">
        <w:rPr>
          <w:rFonts w:cs="Arial"/>
          <w:b/>
          <w:bCs/>
          <w:color w:val="000000"/>
          <w:szCs w:val="24"/>
          <w:lang w:val="it-CH" w:eastAsia="it-CH"/>
        </w:rPr>
        <w:t>,</w:t>
      </w:r>
      <w:r w:rsidR="00AC63F5" w:rsidRPr="007C5CB1">
        <w:rPr>
          <w:rFonts w:cs="Arial"/>
          <w:b/>
          <w:bCs/>
          <w:color w:val="000000"/>
          <w:szCs w:val="24"/>
          <w:lang w:val="it-CH" w:eastAsia="it-CH"/>
        </w:rPr>
        <w:t xml:space="preserve"> votata dal Gran Consiglio il 6 novembre 2012</w:t>
      </w:r>
      <w:bookmarkEnd w:id="0"/>
      <w:r w:rsidR="00CF0AE7" w:rsidRPr="007C5CB1">
        <w:rPr>
          <w:rFonts w:cs="Arial"/>
          <w:b/>
          <w:bCs/>
          <w:color w:val="000000"/>
          <w:szCs w:val="24"/>
          <w:lang w:val="it-CH" w:eastAsia="it-CH"/>
        </w:rPr>
        <w:t>;</w:t>
      </w:r>
    </w:p>
    <w:p w14:paraId="61B7A1F2" w14:textId="4C398E93" w:rsidR="007C5CB1" w:rsidRDefault="007C5CB1">
      <w:pPr>
        <w:jc w:val="left"/>
        <w:rPr>
          <w:rFonts w:cs="Arial"/>
          <w:b/>
          <w:bCs/>
          <w:color w:val="000000"/>
          <w:szCs w:val="24"/>
          <w:lang w:val="it-CH" w:eastAsia="it-CH"/>
        </w:rPr>
      </w:pPr>
      <w:r>
        <w:rPr>
          <w:rFonts w:cs="Arial"/>
          <w:b/>
          <w:bCs/>
          <w:color w:val="000000"/>
          <w:szCs w:val="24"/>
          <w:lang w:val="it-CH" w:eastAsia="it-CH"/>
        </w:rPr>
        <w:br w:type="page"/>
      </w:r>
    </w:p>
    <w:p w14:paraId="5567FE9A" w14:textId="607E4497" w:rsidR="0008755F" w:rsidRPr="007C5CB1" w:rsidRDefault="00AC63F5" w:rsidP="0008755F">
      <w:pPr>
        <w:spacing w:before="120"/>
        <w:rPr>
          <w:rFonts w:cs="Arial"/>
          <w:b/>
          <w:bCs/>
          <w:szCs w:val="24"/>
        </w:rPr>
      </w:pPr>
      <w:r w:rsidRPr="007C5CB1">
        <w:rPr>
          <w:rFonts w:cs="Arial"/>
          <w:b/>
          <w:bCs/>
          <w:color w:val="000000"/>
          <w:szCs w:val="24"/>
          <w:lang w:val="it-CH" w:eastAsia="it-CH"/>
        </w:rPr>
        <w:lastRenderedPageBreak/>
        <w:t>si chiede con il presente emendamento che il</w:t>
      </w:r>
      <w:r w:rsidR="002839C4" w:rsidRPr="007C5CB1">
        <w:rPr>
          <w:rFonts w:cs="Arial"/>
          <w:b/>
          <w:bCs/>
          <w:szCs w:val="24"/>
        </w:rPr>
        <w:t xml:space="preserve"> Gran Consiglio approv</w:t>
      </w:r>
      <w:r w:rsidRPr="007C5CB1">
        <w:rPr>
          <w:rFonts w:cs="Arial"/>
          <w:b/>
          <w:bCs/>
          <w:szCs w:val="24"/>
        </w:rPr>
        <w:t>i</w:t>
      </w:r>
      <w:r w:rsidR="0008755F" w:rsidRPr="007C5CB1">
        <w:rPr>
          <w:rFonts w:cs="Arial"/>
          <w:b/>
          <w:bCs/>
          <w:szCs w:val="24"/>
        </w:rPr>
        <w:t xml:space="preserve"> </w:t>
      </w:r>
      <w:r w:rsidRPr="007C5CB1">
        <w:rPr>
          <w:rFonts w:cs="Arial"/>
          <w:b/>
          <w:bCs/>
          <w:szCs w:val="24"/>
        </w:rPr>
        <w:t xml:space="preserve">la seguente modifica </w:t>
      </w:r>
      <w:r w:rsidR="0008755F" w:rsidRPr="007C5CB1">
        <w:rPr>
          <w:rFonts w:cs="Arial"/>
          <w:b/>
          <w:bCs/>
          <w:szCs w:val="24"/>
        </w:rPr>
        <w:t>della conclusione del rapporto commissionale</w:t>
      </w:r>
      <w:r w:rsidR="00EB3D7A">
        <w:rPr>
          <w:rFonts w:cs="Arial"/>
          <w:b/>
          <w:bCs/>
          <w:szCs w:val="24"/>
        </w:rPr>
        <w:t>:</w:t>
      </w:r>
    </w:p>
    <w:p w14:paraId="119F45FF" w14:textId="77777777" w:rsidR="0008755F" w:rsidRPr="007C5CB1" w:rsidRDefault="0008755F" w:rsidP="0008755F">
      <w:pPr>
        <w:pStyle w:val="Paragrafoelenco"/>
        <w:spacing w:before="120"/>
        <w:rPr>
          <w:rFonts w:cs="Arial"/>
          <w:szCs w:val="24"/>
        </w:rPr>
      </w:pPr>
    </w:p>
    <w:p w14:paraId="264CF844" w14:textId="3777C3F6" w:rsidR="0008755F" w:rsidRPr="007C5CB1" w:rsidRDefault="0008755F" w:rsidP="0008755F">
      <w:pPr>
        <w:pStyle w:val="Paragrafoelenco"/>
        <w:spacing w:before="120"/>
        <w:rPr>
          <w:rFonts w:cs="Arial"/>
          <w:szCs w:val="24"/>
        </w:rPr>
      </w:pPr>
      <w:r w:rsidRPr="007C5CB1">
        <w:rPr>
          <w:rFonts w:cs="Arial"/>
          <w:szCs w:val="24"/>
        </w:rPr>
        <w:t xml:space="preserve">In particolare, si invitano gli organi dell’IPCT ad impiegare i CHF 700 mio. – che il Cantone metterà a disposizione quale versamento nelle RCDL – attraverso un nuovo mandato di gestione separato da quelli esistenti, tenendo sotto attento controllo i costi correnti di gestione complessivi, investendo gli averi sui mercati finanziari internazionali (possibilmente azionari) senza escludere la possibilità di approcci tesi al contenimento delle perdite massime pur preservando buona parte dei rendimenti attesi. </w:t>
      </w:r>
      <w:r w:rsidR="009C3678">
        <w:rPr>
          <w:szCs w:val="24"/>
          <w:highlight w:val="lightGray"/>
        </w:rPr>
        <w:t>Per tutelare le/i 15'000 assicurati senza garanzie i</w:t>
      </w:r>
      <w:r w:rsidRPr="007C5CB1">
        <w:rPr>
          <w:szCs w:val="24"/>
          <w:highlight w:val="lightGray"/>
        </w:rPr>
        <w:t xml:space="preserve"> 250 mio Fr di riserva di contributi del datore di lavoro con rinuncia all’utilizzazione </w:t>
      </w:r>
      <w:r w:rsidR="00216909" w:rsidRPr="007C5CB1">
        <w:rPr>
          <w:szCs w:val="24"/>
          <w:highlight w:val="lightGray"/>
        </w:rPr>
        <w:t>dovranno essere aumentat</w:t>
      </w:r>
      <w:r w:rsidR="00373E45" w:rsidRPr="007C5CB1">
        <w:rPr>
          <w:szCs w:val="24"/>
          <w:highlight w:val="lightGray"/>
        </w:rPr>
        <w:t>i</w:t>
      </w:r>
      <w:r w:rsidR="00216909" w:rsidRPr="007C5CB1">
        <w:rPr>
          <w:szCs w:val="24"/>
          <w:highlight w:val="lightGray"/>
        </w:rPr>
        <w:t xml:space="preserve"> sino ad un massimo di 500 mio</w:t>
      </w:r>
      <w:r w:rsidR="00373E45" w:rsidRPr="007C5CB1">
        <w:rPr>
          <w:szCs w:val="24"/>
          <w:highlight w:val="lightGray"/>
        </w:rPr>
        <w:t>. Fr,</w:t>
      </w:r>
      <w:r w:rsidRPr="007C5CB1">
        <w:rPr>
          <w:szCs w:val="24"/>
          <w:highlight w:val="lightGray"/>
        </w:rPr>
        <w:t xml:space="preserve"> </w:t>
      </w:r>
      <w:r w:rsidR="00DD70B9" w:rsidRPr="007C5CB1">
        <w:rPr>
          <w:szCs w:val="24"/>
          <w:highlight w:val="lightGray"/>
          <w:u w:val="single"/>
        </w:rPr>
        <w:t xml:space="preserve">nella misura in cui </w:t>
      </w:r>
      <w:r w:rsidRPr="007C5CB1">
        <w:rPr>
          <w:szCs w:val="24"/>
          <w:highlight w:val="lightGray"/>
          <w:u w:val="single"/>
        </w:rPr>
        <w:t>al 31.12.2029 l’obbligo di grado di copertura del 75% secondo legge federale LPP non sarà stato raggiunto</w:t>
      </w:r>
      <w:r w:rsidR="00DD1ABA" w:rsidRPr="007C5CB1">
        <w:rPr>
          <w:szCs w:val="24"/>
          <w:highlight w:val="lightGray"/>
          <w:u w:val="single"/>
        </w:rPr>
        <w:t xml:space="preserve"> da parte dell’IPCT</w:t>
      </w:r>
      <w:r w:rsidR="00373E45" w:rsidRPr="007C5CB1">
        <w:rPr>
          <w:rFonts w:cs="Arial"/>
          <w:szCs w:val="24"/>
        </w:rPr>
        <w:t>.</w:t>
      </w:r>
      <w:r w:rsidRPr="007C5CB1">
        <w:rPr>
          <w:rFonts w:cs="Arial"/>
          <w:szCs w:val="24"/>
        </w:rPr>
        <w:t xml:space="preserve"> Per quanto riguarda la sostenibilità degli investimenti si rimanda alla sezione 9.2, mentre per quanto riguarda la necessità di un intervento a breve a seguito della riduzione del tasso di conversione si rimanda alla sezione 9.3.</w:t>
      </w:r>
    </w:p>
    <w:p w14:paraId="71DD1E1E" w14:textId="77777777" w:rsidR="0008755F" w:rsidRPr="007C5CB1" w:rsidRDefault="0008755F" w:rsidP="0008755F">
      <w:pPr>
        <w:pStyle w:val="Paragrafoelenco"/>
        <w:spacing w:before="120"/>
        <w:rPr>
          <w:rFonts w:cs="Arial"/>
          <w:szCs w:val="24"/>
        </w:rPr>
      </w:pPr>
    </w:p>
    <w:p w14:paraId="526415E0" w14:textId="161C0496" w:rsidR="00177703" w:rsidRPr="00177703" w:rsidRDefault="00177703" w:rsidP="002839C4">
      <w:pPr>
        <w:spacing w:before="120"/>
        <w:rPr>
          <w:rFonts w:cs="Arial"/>
          <w:szCs w:val="24"/>
          <w:highlight w:val="lightGray"/>
        </w:rPr>
      </w:pPr>
      <w:r w:rsidRPr="00177703">
        <w:rPr>
          <w:rFonts w:cs="Arial"/>
          <w:szCs w:val="24"/>
          <w:highlight w:val="lightGray"/>
        </w:rPr>
        <w:t>Si invita pertanto il Gran Consiglio ad accogliere la seguente modifica di legge.</w:t>
      </w:r>
    </w:p>
    <w:p w14:paraId="4BE89F0C" w14:textId="77777777" w:rsidR="00177703" w:rsidRPr="00177703" w:rsidRDefault="00177703" w:rsidP="002839C4">
      <w:pPr>
        <w:spacing w:before="120"/>
        <w:rPr>
          <w:rFonts w:cs="Arial"/>
          <w:szCs w:val="24"/>
          <w:highlight w:val="lightGray"/>
        </w:rPr>
      </w:pPr>
    </w:p>
    <w:p w14:paraId="0C78E43A" w14:textId="77777777" w:rsidR="00DD1ABA" w:rsidRPr="007C5CB1" w:rsidRDefault="00DD1ABA" w:rsidP="00C80D53">
      <w:pPr>
        <w:spacing w:before="120"/>
        <w:rPr>
          <w:rFonts w:cs="Arial"/>
          <w:b/>
          <w:bCs/>
          <w:szCs w:val="24"/>
          <w:highlight w:val="lightGray"/>
        </w:rPr>
      </w:pPr>
      <w:r w:rsidRPr="007C5CB1">
        <w:rPr>
          <w:rFonts w:cs="Arial"/>
          <w:b/>
          <w:bCs/>
          <w:szCs w:val="24"/>
          <w:highlight w:val="lightGray"/>
        </w:rPr>
        <w:t>Legge sull’Istituto di previdenza del Cantone Ticino del 6 novembre 2012:</w:t>
      </w:r>
    </w:p>
    <w:p w14:paraId="14D8364D" w14:textId="77777777" w:rsidR="0008755F" w:rsidRPr="007C5CB1" w:rsidRDefault="0008755F" w:rsidP="002839C4">
      <w:pPr>
        <w:spacing w:before="120"/>
        <w:rPr>
          <w:rFonts w:cs="Arial"/>
          <w:b/>
          <w:bCs/>
          <w:szCs w:val="24"/>
          <w:highlight w:val="lightGray"/>
        </w:rPr>
      </w:pPr>
    </w:p>
    <w:p w14:paraId="45A7E869" w14:textId="77777777" w:rsidR="000A2718" w:rsidRPr="007C5CB1" w:rsidRDefault="000A2718" w:rsidP="00C4760E">
      <w:pPr>
        <w:rPr>
          <w:rFonts w:cs="Arial"/>
          <w:b/>
          <w:bCs/>
          <w:szCs w:val="24"/>
          <w:highlight w:val="lightGray"/>
        </w:rPr>
      </w:pPr>
      <w:r w:rsidRPr="007C5CB1">
        <w:rPr>
          <w:rFonts w:cs="Arial"/>
          <w:b/>
          <w:bCs/>
          <w:szCs w:val="24"/>
          <w:highlight w:val="lightGray"/>
        </w:rPr>
        <w:t>I</w:t>
      </w:r>
    </w:p>
    <w:tbl>
      <w:tblPr>
        <w:tblW w:w="17861" w:type="dxa"/>
        <w:tblLayout w:type="fixed"/>
        <w:tblCellMar>
          <w:left w:w="70" w:type="dxa"/>
          <w:right w:w="70" w:type="dxa"/>
        </w:tblCellMar>
        <w:tblLook w:val="0000" w:firstRow="0" w:lastRow="0" w:firstColumn="0" w:lastColumn="0" w:noHBand="0" w:noVBand="0"/>
      </w:tblPr>
      <w:tblGrid>
        <w:gridCol w:w="1701"/>
        <w:gridCol w:w="8080"/>
        <w:gridCol w:w="8080"/>
      </w:tblGrid>
      <w:tr w:rsidR="00CF0AE7" w:rsidRPr="007C5CB1" w14:paraId="6732A927" w14:textId="77777777" w:rsidTr="00344213">
        <w:trPr>
          <w:cantSplit/>
        </w:trPr>
        <w:tc>
          <w:tcPr>
            <w:tcW w:w="1701" w:type="dxa"/>
          </w:tcPr>
          <w:p w14:paraId="558BE613" w14:textId="77777777" w:rsidR="00CF0AE7" w:rsidRPr="007C5CB1" w:rsidRDefault="00CF0AE7" w:rsidP="00CF0AE7">
            <w:pPr>
              <w:rPr>
                <w:rFonts w:cs="Arial"/>
                <w:szCs w:val="24"/>
                <w:highlight w:val="lightGray"/>
              </w:rPr>
            </w:pPr>
          </w:p>
        </w:tc>
        <w:tc>
          <w:tcPr>
            <w:tcW w:w="8080" w:type="dxa"/>
            <w:shd w:val="clear" w:color="auto" w:fill="auto"/>
          </w:tcPr>
          <w:p w14:paraId="6E80D34D" w14:textId="28AA65C1" w:rsidR="00CF0AE7" w:rsidRPr="007C5CB1" w:rsidRDefault="00CF0AE7" w:rsidP="00CF0AE7">
            <w:pPr>
              <w:tabs>
                <w:tab w:val="left" w:pos="426"/>
              </w:tabs>
              <w:rPr>
                <w:rFonts w:cs="Arial"/>
                <w:b/>
                <w:bCs/>
                <w:szCs w:val="24"/>
                <w:lang w:val="it-CH"/>
              </w:rPr>
            </w:pPr>
            <w:r w:rsidRPr="007C5CB1">
              <w:rPr>
                <w:rFonts w:cs="Arial"/>
                <w:b/>
                <w:bCs/>
                <w:szCs w:val="24"/>
                <w:lang w:val="it-CH"/>
              </w:rPr>
              <w:t>Art. 16 cpv. 5 (nuov</w:t>
            </w:r>
            <w:r w:rsidR="00373E45" w:rsidRPr="007C5CB1">
              <w:rPr>
                <w:rFonts w:cs="Arial"/>
                <w:b/>
                <w:bCs/>
                <w:szCs w:val="24"/>
                <w:lang w:val="it-CH"/>
              </w:rPr>
              <w:t>o</w:t>
            </w:r>
            <w:r w:rsidRPr="007C5CB1">
              <w:rPr>
                <w:rFonts w:cs="Arial"/>
                <w:b/>
                <w:bCs/>
                <w:szCs w:val="24"/>
                <w:lang w:val="it-CH"/>
              </w:rPr>
              <w:t>)</w:t>
            </w:r>
          </w:p>
          <w:p w14:paraId="5F37191F" w14:textId="77777777" w:rsidR="00CF0AE7" w:rsidRPr="007C5CB1" w:rsidRDefault="00CF0AE7" w:rsidP="00CF0AE7">
            <w:pPr>
              <w:tabs>
                <w:tab w:val="left" w:pos="426"/>
              </w:tabs>
              <w:rPr>
                <w:rFonts w:cs="Arial"/>
                <w:bCs/>
                <w:szCs w:val="24"/>
                <w:lang w:val="it-CH"/>
              </w:rPr>
            </w:pPr>
          </w:p>
          <w:p w14:paraId="3258656B" w14:textId="4E63C824" w:rsidR="004F4276" w:rsidRPr="007C5CB1" w:rsidRDefault="004F4276" w:rsidP="004F4276">
            <w:pPr>
              <w:rPr>
                <w:szCs w:val="24"/>
              </w:rPr>
            </w:pPr>
            <w:r w:rsidRPr="007C5CB1">
              <w:rPr>
                <w:rFonts w:cs="Arial"/>
                <w:szCs w:val="24"/>
                <w:highlight w:val="lightGray"/>
                <w:vertAlign w:val="superscript"/>
              </w:rPr>
              <w:t>5</w:t>
            </w:r>
            <w:r w:rsidRPr="007C5CB1">
              <w:rPr>
                <w:rFonts w:cs="Arial"/>
                <w:szCs w:val="24"/>
                <w:highlight w:val="lightGray"/>
              </w:rPr>
              <w:t>Il Cantone a copertura del maggior costo della norma transitoria di cui all’art 24 accorda all’Istituto di previdenza una riserva di contributi del datore di lavoro di 700 mio. Fr</w:t>
            </w:r>
            <w:r w:rsidR="00373E45" w:rsidRPr="007C5CB1">
              <w:rPr>
                <w:rFonts w:cs="Arial"/>
                <w:szCs w:val="24"/>
                <w:highlight w:val="lightGray"/>
              </w:rPr>
              <w:t>,</w:t>
            </w:r>
            <w:r w:rsidRPr="007C5CB1">
              <w:rPr>
                <w:rFonts w:cs="Arial"/>
                <w:szCs w:val="24"/>
                <w:highlight w:val="lightGray"/>
              </w:rPr>
              <w:t xml:space="preserve"> come</w:t>
            </w:r>
            <w:r w:rsidR="00373E45" w:rsidRPr="007C5CB1">
              <w:rPr>
                <w:rFonts w:cs="Arial"/>
                <w:szCs w:val="24"/>
                <w:highlight w:val="lightGray"/>
              </w:rPr>
              <w:t xml:space="preserve"> indicato dal</w:t>
            </w:r>
            <w:r w:rsidRPr="007C5CB1">
              <w:rPr>
                <w:rFonts w:cs="Arial"/>
                <w:szCs w:val="24"/>
                <w:highlight w:val="lightGray"/>
              </w:rPr>
              <w:t xml:space="preserve"> rapporto complementare del Consiglio di Stato al messaggio governativo 7784</w:t>
            </w:r>
            <w:r w:rsidR="00373E45" w:rsidRPr="007C5CB1">
              <w:rPr>
                <w:rFonts w:cs="Arial"/>
                <w:szCs w:val="24"/>
                <w:highlight w:val="lightGray"/>
              </w:rPr>
              <w:t xml:space="preserve">. Il Consiglio di Stato aumenterà </w:t>
            </w:r>
            <w:r w:rsidR="00770193" w:rsidRPr="007C5CB1">
              <w:rPr>
                <w:rFonts w:cs="Arial"/>
                <w:szCs w:val="24"/>
                <w:highlight w:val="lightGray"/>
              </w:rPr>
              <w:t>la</w:t>
            </w:r>
            <w:r w:rsidRPr="007C5CB1">
              <w:rPr>
                <w:szCs w:val="24"/>
                <w:highlight w:val="lightGray"/>
              </w:rPr>
              <w:t xml:space="preserve"> riserva di contributi del datore di lavoro con rinuncia all’utilizzazione </w:t>
            </w:r>
            <w:r w:rsidR="00DD70B9" w:rsidRPr="007C5CB1">
              <w:rPr>
                <w:szCs w:val="24"/>
                <w:highlight w:val="lightGray"/>
              </w:rPr>
              <w:t xml:space="preserve">da 250 mio Fr. </w:t>
            </w:r>
            <w:r w:rsidR="00373E45" w:rsidRPr="007C5CB1">
              <w:rPr>
                <w:szCs w:val="24"/>
                <w:highlight w:val="lightGray"/>
              </w:rPr>
              <w:t xml:space="preserve">sino ad un massimo di </w:t>
            </w:r>
            <w:r w:rsidR="00116E6E" w:rsidRPr="007C5CB1">
              <w:rPr>
                <w:szCs w:val="24"/>
                <w:highlight w:val="lightGray"/>
              </w:rPr>
              <w:t>5</w:t>
            </w:r>
            <w:r w:rsidR="00373E45" w:rsidRPr="007C5CB1">
              <w:rPr>
                <w:szCs w:val="24"/>
                <w:highlight w:val="lightGray"/>
              </w:rPr>
              <w:t>00 mio. Fr</w:t>
            </w:r>
            <w:r w:rsidRPr="007C5CB1">
              <w:rPr>
                <w:szCs w:val="24"/>
                <w:highlight w:val="lightGray"/>
              </w:rPr>
              <w:t xml:space="preserve">, </w:t>
            </w:r>
            <w:r w:rsidR="00DD70B9" w:rsidRPr="007C5CB1">
              <w:rPr>
                <w:szCs w:val="24"/>
                <w:highlight w:val="lightGray"/>
              </w:rPr>
              <w:t>nella misura in cui</w:t>
            </w:r>
            <w:r w:rsidRPr="007C5CB1">
              <w:rPr>
                <w:szCs w:val="24"/>
                <w:highlight w:val="lightGray"/>
              </w:rPr>
              <w:t xml:space="preserve"> al 31.12.2029 l’obbligo di grado di copertura del 75% secondo legge federale LPP non sarà stato raggiunto dall’Istituto di previde</w:t>
            </w:r>
            <w:r w:rsidRPr="007C5CB1">
              <w:rPr>
                <w:szCs w:val="24"/>
                <w:shd w:val="clear" w:color="auto" w:fill="D9D9D9" w:themeFill="background1" w:themeFillShade="D9"/>
              </w:rPr>
              <w:t>nza.</w:t>
            </w:r>
          </w:p>
          <w:p w14:paraId="69094DA6" w14:textId="24F4D730" w:rsidR="004F4276" w:rsidRPr="007C5CB1" w:rsidRDefault="004F4276" w:rsidP="004F4276">
            <w:pPr>
              <w:rPr>
                <w:szCs w:val="24"/>
              </w:rPr>
            </w:pPr>
          </w:p>
          <w:p w14:paraId="5FF01CE9" w14:textId="77777777" w:rsidR="004F4276" w:rsidRPr="007C5CB1" w:rsidRDefault="004F4276" w:rsidP="004F4276">
            <w:pPr>
              <w:rPr>
                <w:rFonts w:cs="Arial"/>
                <w:b/>
                <w:szCs w:val="24"/>
              </w:rPr>
            </w:pPr>
          </w:p>
          <w:p w14:paraId="6190F4A7" w14:textId="04378EC5" w:rsidR="00CF0AE7" w:rsidRPr="007C5CB1" w:rsidRDefault="00CF0AE7" w:rsidP="00CF0AE7">
            <w:pPr>
              <w:tabs>
                <w:tab w:val="left" w:pos="426"/>
              </w:tabs>
              <w:rPr>
                <w:rFonts w:cs="Arial"/>
                <w:szCs w:val="24"/>
                <w:highlight w:val="lightGray"/>
                <w:lang w:val="it-CH"/>
              </w:rPr>
            </w:pPr>
          </w:p>
        </w:tc>
        <w:tc>
          <w:tcPr>
            <w:tcW w:w="8080" w:type="dxa"/>
          </w:tcPr>
          <w:p w14:paraId="723B477E" w14:textId="0AAB5B09" w:rsidR="00CF0AE7" w:rsidRPr="007C5CB1" w:rsidRDefault="00CF0AE7" w:rsidP="00CF0AE7">
            <w:pPr>
              <w:tabs>
                <w:tab w:val="left" w:pos="426"/>
              </w:tabs>
              <w:rPr>
                <w:rFonts w:cs="Arial"/>
                <w:szCs w:val="24"/>
                <w:lang w:val="it-CH"/>
              </w:rPr>
            </w:pPr>
          </w:p>
        </w:tc>
      </w:tr>
    </w:tbl>
    <w:p w14:paraId="16015B09" w14:textId="4FF286A8" w:rsidR="004F4276" w:rsidRPr="007C5CB1" w:rsidRDefault="00C4760E" w:rsidP="004F4276">
      <w:pPr>
        <w:tabs>
          <w:tab w:val="left" w:pos="426"/>
        </w:tabs>
        <w:rPr>
          <w:rFonts w:cs="Arial"/>
          <w:b/>
          <w:szCs w:val="24"/>
        </w:rPr>
      </w:pPr>
      <w:r w:rsidRPr="007C5CB1">
        <w:rPr>
          <w:rFonts w:cs="Arial"/>
          <w:b/>
          <w:szCs w:val="24"/>
        </w:rPr>
        <w:t>II</w:t>
      </w:r>
    </w:p>
    <w:p w14:paraId="7E8134FA" w14:textId="40C85AFA" w:rsidR="00C4760E" w:rsidRPr="007C5CB1" w:rsidRDefault="00C4760E" w:rsidP="00802652">
      <w:pPr>
        <w:spacing w:before="120"/>
        <w:rPr>
          <w:rFonts w:cs="Arial"/>
          <w:szCs w:val="24"/>
        </w:rPr>
      </w:pPr>
      <w:r w:rsidRPr="007C5CB1">
        <w:rPr>
          <w:rFonts w:cs="Arial"/>
          <w:szCs w:val="24"/>
        </w:rPr>
        <w:t>Trascorsi i termini per l'esercizio del diritto di referendum, la presente modifica di legge è pubblicata nel Bollettino ufficiale delle leggi.</w:t>
      </w:r>
    </w:p>
    <w:p w14:paraId="61570B59" w14:textId="635B5010" w:rsidR="009D2E9D" w:rsidRPr="007C5CB1" w:rsidRDefault="009D2E9D" w:rsidP="00802652">
      <w:pPr>
        <w:spacing w:before="120"/>
        <w:rPr>
          <w:rFonts w:cs="Arial"/>
          <w:szCs w:val="24"/>
        </w:rPr>
      </w:pPr>
    </w:p>
    <w:p w14:paraId="78AC3069" w14:textId="77777777" w:rsidR="00116E6E" w:rsidRPr="007C5CB1" w:rsidRDefault="00116E6E" w:rsidP="00802652">
      <w:pPr>
        <w:spacing w:before="120"/>
        <w:rPr>
          <w:rFonts w:cs="Arial"/>
          <w:szCs w:val="24"/>
        </w:rPr>
      </w:pPr>
    </w:p>
    <w:p w14:paraId="411B63E2" w14:textId="5F0FF19E" w:rsidR="009D2E9D" w:rsidRPr="007C5CB1" w:rsidRDefault="00D412C7" w:rsidP="00802652">
      <w:pPr>
        <w:spacing w:before="120"/>
        <w:rPr>
          <w:rFonts w:cs="Arial"/>
          <w:szCs w:val="24"/>
        </w:rPr>
      </w:pPr>
      <w:r>
        <w:rPr>
          <w:rFonts w:cs="Arial"/>
          <w:szCs w:val="24"/>
        </w:rPr>
        <w:t>8</w:t>
      </w:r>
      <w:r w:rsidR="00E318F2" w:rsidRPr="007C5CB1">
        <w:rPr>
          <w:rFonts w:cs="Arial"/>
          <w:szCs w:val="24"/>
        </w:rPr>
        <w:t xml:space="preserve">.4.22 </w:t>
      </w:r>
      <w:r w:rsidR="009D2E9D" w:rsidRPr="007C5CB1">
        <w:rPr>
          <w:rFonts w:cs="Arial"/>
          <w:szCs w:val="24"/>
        </w:rPr>
        <w:t>Raoul Ghisletta</w:t>
      </w:r>
    </w:p>
    <w:sectPr w:rsidR="009D2E9D" w:rsidRPr="007C5CB1" w:rsidSect="00DF434B">
      <w:footerReference w:type="default" r:id="rId11"/>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2B68" w14:textId="77777777" w:rsidR="004D0A4B" w:rsidRDefault="004D0A4B">
      <w:r>
        <w:separator/>
      </w:r>
    </w:p>
  </w:endnote>
  <w:endnote w:type="continuationSeparator" w:id="0">
    <w:p w14:paraId="41D07850" w14:textId="77777777" w:rsidR="004D0A4B" w:rsidRDefault="004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A2B3" w14:textId="77777777" w:rsidR="002839C4" w:rsidRDefault="002839C4">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Pr>
        <w:rStyle w:val="Numeropagina"/>
        <w:noProof/>
        <w:sz w:val="20"/>
      </w:rPr>
      <w:t>19</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F80E" w14:textId="77777777" w:rsidR="004D0A4B" w:rsidRDefault="004D0A4B">
      <w:r>
        <w:separator/>
      </w:r>
    </w:p>
  </w:footnote>
  <w:footnote w:type="continuationSeparator" w:id="0">
    <w:p w14:paraId="219F942B" w14:textId="77777777" w:rsidR="004D0A4B" w:rsidRDefault="004D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AC4"/>
    <w:multiLevelType w:val="multilevel"/>
    <w:tmpl w:val="0D3058DE"/>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EA256A6"/>
    <w:multiLevelType w:val="hybridMultilevel"/>
    <w:tmpl w:val="700882CA"/>
    <w:lvl w:ilvl="0" w:tplc="FA10DA18">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24661C1A"/>
    <w:multiLevelType w:val="multilevel"/>
    <w:tmpl w:val="A4FC08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3369E"/>
    <w:multiLevelType w:val="multilevel"/>
    <w:tmpl w:val="8468F95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10210A"/>
    <w:multiLevelType w:val="multilevel"/>
    <w:tmpl w:val="67EC6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911C1E"/>
    <w:multiLevelType w:val="hybridMultilevel"/>
    <w:tmpl w:val="533C783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3B0D16FE"/>
    <w:multiLevelType w:val="hybridMultilevel"/>
    <w:tmpl w:val="3B5808B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3B130047"/>
    <w:multiLevelType w:val="hybridMultilevel"/>
    <w:tmpl w:val="45F07238"/>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4E665D01"/>
    <w:multiLevelType w:val="hybridMultilevel"/>
    <w:tmpl w:val="FCC4AB9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56D72CF5"/>
    <w:multiLevelType w:val="multilevel"/>
    <w:tmpl w:val="F04AEB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B030D1"/>
    <w:multiLevelType w:val="multilevel"/>
    <w:tmpl w:val="EE7A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9C0F4A"/>
    <w:multiLevelType w:val="multilevel"/>
    <w:tmpl w:val="74C88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39674D"/>
    <w:multiLevelType w:val="multilevel"/>
    <w:tmpl w:val="100C201E"/>
    <w:styleLink w:val="StilePuntatoSymbolsimbolo"/>
    <w:lvl w:ilvl="0">
      <w:start w:val="1"/>
      <w:numFmt w:val="bullet"/>
      <w:lvlText w:val=""/>
      <w:lvlJc w:val="left"/>
      <w:pPr>
        <w:tabs>
          <w:tab w:val="num" w:pos="2552"/>
        </w:tabs>
        <w:ind w:left="2552" w:hanging="284"/>
      </w:pPr>
      <w:rPr>
        <w:rFonts w:ascii="Symbol" w:hAnsi="Symbol" w:hint="default"/>
      </w:rPr>
    </w:lvl>
    <w:lvl w:ilvl="1">
      <w:start w:val="1"/>
      <w:numFmt w:val="bullet"/>
      <w:lvlText w:val="o"/>
      <w:lvlJc w:val="left"/>
      <w:pPr>
        <w:tabs>
          <w:tab w:val="num" w:pos="3708"/>
        </w:tabs>
        <w:ind w:left="3708" w:hanging="360"/>
      </w:pPr>
      <w:rPr>
        <w:rFonts w:ascii="Courier New" w:hAnsi="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71870DF8"/>
    <w:multiLevelType w:val="multilevel"/>
    <w:tmpl w:val="46102A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A061FD"/>
    <w:multiLevelType w:val="hybridMultilevel"/>
    <w:tmpl w:val="38F218F0"/>
    <w:lvl w:ilvl="0" w:tplc="8C40016E">
      <w:start w:val="1"/>
      <w:numFmt w:val="decimal"/>
      <w:lvlText w:val="%1)"/>
      <w:lvlJc w:val="left"/>
      <w:pPr>
        <w:ind w:left="720" w:hanging="360"/>
      </w:pPr>
      <w:rPr>
        <w:rFonts w:hint="default"/>
        <w:b/>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16cid:durableId="2044133491">
    <w:abstractNumId w:val="10"/>
  </w:num>
  <w:num w:numId="2" w16cid:durableId="1835097635">
    <w:abstractNumId w:val="7"/>
  </w:num>
  <w:num w:numId="3" w16cid:durableId="1178932069">
    <w:abstractNumId w:val="12"/>
  </w:num>
  <w:num w:numId="4" w16cid:durableId="960961115">
    <w:abstractNumId w:val="1"/>
  </w:num>
  <w:num w:numId="5" w16cid:durableId="316691392">
    <w:abstractNumId w:val="11"/>
  </w:num>
  <w:num w:numId="6" w16cid:durableId="436487616">
    <w:abstractNumId w:val="0"/>
  </w:num>
  <w:num w:numId="7" w16cid:durableId="1350914748">
    <w:abstractNumId w:val="2"/>
  </w:num>
  <w:num w:numId="8" w16cid:durableId="1552112575">
    <w:abstractNumId w:val="13"/>
  </w:num>
  <w:num w:numId="9" w16cid:durableId="558134972">
    <w:abstractNumId w:val="4"/>
  </w:num>
  <w:num w:numId="10" w16cid:durableId="1608391542">
    <w:abstractNumId w:val="3"/>
  </w:num>
  <w:num w:numId="11" w16cid:durableId="2138448299">
    <w:abstractNumId w:val="8"/>
  </w:num>
  <w:num w:numId="12" w16cid:durableId="356547858">
    <w:abstractNumId w:val="9"/>
  </w:num>
  <w:num w:numId="13" w16cid:durableId="203103083">
    <w:abstractNumId w:val="6"/>
  </w:num>
  <w:num w:numId="14" w16cid:durableId="2114746724">
    <w:abstractNumId w:val="5"/>
  </w:num>
  <w:num w:numId="15" w16cid:durableId="180685296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FB"/>
    <w:rsid w:val="000160ED"/>
    <w:rsid w:val="00056425"/>
    <w:rsid w:val="00060709"/>
    <w:rsid w:val="0008755F"/>
    <w:rsid w:val="0009445D"/>
    <w:rsid w:val="000A2718"/>
    <w:rsid w:val="000D6EDD"/>
    <w:rsid w:val="00107C86"/>
    <w:rsid w:val="00116E6E"/>
    <w:rsid w:val="00152187"/>
    <w:rsid w:val="0017133E"/>
    <w:rsid w:val="00177703"/>
    <w:rsid w:val="00180F3B"/>
    <w:rsid w:val="001A1991"/>
    <w:rsid w:val="00205F23"/>
    <w:rsid w:val="00216909"/>
    <w:rsid w:val="002839C4"/>
    <w:rsid w:val="00296F84"/>
    <w:rsid w:val="002B07F9"/>
    <w:rsid w:val="002B3873"/>
    <w:rsid w:val="002B698B"/>
    <w:rsid w:val="002C0D3F"/>
    <w:rsid w:val="002F4A1C"/>
    <w:rsid w:val="0032692E"/>
    <w:rsid w:val="003362B4"/>
    <w:rsid w:val="00341CED"/>
    <w:rsid w:val="00344213"/>
    <w:rsid w:val="003444FD"/>
    <w:rsid w:val="003453D1"/>
    <w:rsid w:val="00371B2C"/>
    <w:rsid w:val="00373E45"/>
    <w:rsid w:val="00376416"/>
    <w:rsid w:val="00381A93"/>
    <w:rsid w:val="0039601B"/>
    <w:rsid w:val="003B16C2"/>
    <w:rsid w:val="003B4DEE"/>
    <w:rsid w:val="003C16EA"/>
    <w:rsid w:val="00432073"/>
    <w:rsid w:val="00435BA3"/>
    <w:rsid w:val="00452A7E"/>
    <w:rsid w:val="004613D4"/>
    <w:rsid w:val="00483B1C"/>
    <w:rsid w:val="004B6B6F"/>
    <w:rsid w:val="004D0A4B"/>
    <w:rsid w:val="004E7828"/>
    <w:rsid w:val="004F4276"/>
    <w:rsid w:val="00522EC0"/>
    <w:rsid w:val="0053660F"/>
    <w:rsid w:val="00551E26"/>
    <w:rsid w:val="00566F7D"/>
    <w:rsid w:val="0059602E"/>
    <w:rsid w:val="005B03BF"/>
    <w:rsid w:val="00635D93"/>
    <w:rsid w:val="0063770E"/>
    <w:rsid w:val="006470C0"/>
    <w:rsid w:val="00690732"/>
    <w:rsid w:val="006E1E7D"/>
    <w:rsid w:val="00723656"/>
    <w:rsid w:val="0073572C"/>
    <w:rsid w:val="00747C39"/>
    <w:rsid w:val="0075662D"/>
    <w:rsid w:val="00770193"/>
    <w:rsid w:val="007A1244"/>
    <w:rsid w:val="007C5CB1"/>
    <w:rsid w:val="00802652"/>
    <w:rsid w:val="0082115E"/>
    <w:rsid w:val="008B2EE9"/>
    <w:rsid w:val="00942AAE"/>
    <w:rsid w:val="00963F36"/>
    <w:rsid w:val="009832AD"/>
    <w:rsid w:val="00983B5B"/>
    <w:rsid w:val="00992E85"/>
    <w:rsid w:val="00995265"/>
    <w:rsid w:val="009C3678"/>
    <w:rsid w:val="009D2E9D"/>
    <w:rsid w:val="00A05B99"/>
    <w:rsid w:val="00A133CF"/>
    <w:rsid w:val="00A351EA"/>
    <w:rsid w:val="00A4557C"/>
    <w:rsid w:val="00A61232"/>
    <w:rsid w:val="00A71ED2"/>
    <w:rsid w:val="00A84EFA"/>
    <w:rsid w:val="00A8611B"/>
    <w:rsid w:val="00A9201F"/>
    <w:rsid w:val="00A9424E"/>
    <w:rsid w:val="00AA68D5"/>
    <w:rsid w:val="00AC63F5"/>
    <w:rsid w:val="00AE6F3D"/>
    <w:rsid w:val="00AF5992"/>
    <w:rsid w:val="00B01474"/>
    <w:rsid w:val="00B364FB"/>
    <w:rsid w:val="00B378FB"/>
    <w:rsid w:val="00B56C78"/>
    <w:rsid w:val="00B93BA2"/>
    <w:rsid w:val="00BB3B75"/>
    <w:rsid w:val="00BB48B7"/>
    <w:rsid w:val="00BB5BB6"/>
    <w:rsid w:val="00BE4A8C"/>
    <w:rsid w:val="00BF3FC3"/>
    <w:rsid w:val="00C4760E"/>
    <w:rsid w:val="00C80D53"/>
    <w:rsid w:val="00C92A1A"/>
    <w:rsid w:val="00C946E4"/>
    <w:rsid w:val="00CE008E"/>
    <w:rsid w:val="00CF0AE7"/>
    <w:rsid w:val="00D16995"/>
    <w:rsid w:val="00D412C7"/>
    <w:rsid w:val="00D54A9E"/>
    <w:rsid w:val="00D76075"/>
    <w:rsid w:val="00DC6BE0"/>
    <w:rsid w:val="00DD1ABA"/>
    <w:rsid w:val="00DD70B9"/>
    <w:rsid w:val="00DF434B"/>
    <w:rsid w:val="00DF75AB"/>
    <w:rsid w:val="00E15EE0"/>
    <w:rsid w:val="00E2192F"/>
    <w:rsid w:val="00E2756C"/>
    <w:rsid w:val="00E318F2"/>
    <w:rsid w:val="00E762E7"/>
    <w:rsid w:val="00EA22D9"/>
    <w:rsid w:val="00EB3D7A"/>
    <w:rsid w:val="00F071A1"/>
    <w:rsid w:val="00F22EEA"/>
    <w:rsid w:val="00F52507"/>
    <w:rsid w:val="00F8242B"/>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AF051"/>
  <w15:docId w15:val="{1721A6FA-38F5-4A3B-96CB-409A65AC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rFonts w:ascii="Arial" w:hAnsi="Arial"/>
      <w:sz w:val="24"/>
      <w:lang w:val="it-IT" w:eastAsia="it-IT"/>
    </w:rPr>
  </w:style>
  <w:style w:type="paragraph" w:styleId="Titolo1">
    <w:name w:val="heading 1"/>
    <w:aliases w:val="H Titolo 1"/>
    <w:basedOn w:val="Normale"/>
    <w:next w:val="Normale"/>
    <w:link w:val="Titolo1Carattere"/>
    <w:uiPriority w:val="9"/>
    <w:qFormat/>
    <w:rsid w:val="00483B1C"/>
    <w:pPr>
      <w:keepNext/>
      <w:tabs>
        <w:tab w:val="left" w:pos="567"/>
      </w:tabs>
      <w:spacing w:after="120"/>
      <w:outlineLvl w:val="0"/>
    </w:pPr>
    <w:rPr>
      <w:b/>
      <w:caps/>
      <w:szCs w:val="24"/>
    </w:rPr>
  </w:style>
  <w:style w:type="paragraph" w:styleId="Titolo2">
    <w:name w:val="heading 2"/>
    <w:aliases w:val="H Titolo 2"/>
    <w:basedOn w:val="Normale"/>
    <w:next w:val="Normale"/>
    <w:link w:val="Titolo2Carattere"/>
    <w:qFormat/>
    <w:rsid w:val="00483B1C"/>
    <w:pPr>
      <w:keepNext/>
      <w:tabs>
        <w:tab w:val="left" w:pos="567"/>
      </w:tabs>
      <w:spacing w:after="120"/>
      <w:outlineLvl w:val="1"/>
    </w:pPr>
    <w:rPr>
      <w:b/>
    </w:rPr>
  </w:style>
  <w:style w:type="paragraph" w:styleId="Titolo3">
    <w:name w:val="heading 3"/>
    <w:aliases w:val="H Titolo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aliases w:val="H Titolo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aliases w:val="H Titolo 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qFormat/>
    <w:rsid w:val="00C4760E"/>
    <w:pPr>
      <w:tabs>
        <w:tab w:val="num" w:pos="1152"/>
      </w:tabs>
      <w:spacing w:before="240" w:after="60"/>
      <w:ind w:left="1152" w:hanging="432"/>
      <w:jc w:val="left"/>
      <w:outlineLvl w:val="5"/>
    </w:pPr>
    <w:rPr>
      <w:rFonts w:ascii="Times New Roman" w:eastAsiaTheme="minorHAnsi" w:hAnsi="Times New Roman"/>
      <w:b/>
      <w:bCs/>
      <w:sz w:val="22"/>
      <w:szCs w:val="22"/>
      <w:lang w:eastAsia="ja-JP"/>
    </w:rPr>
  </w:style>
  <w:style w:type="paragraph" w:styleId="Titolo7">
    <w:name w:val="heading 7"/>
    <w:basedOn w:val="Normale"/>
    <w:next w:val="Normale"/>
    <w:link w:val="Titolo7Carattere"/>
    <w:qFormat/>
    <w:rsid w:val="00C4760E"/>
    <w:pPr>
      <w:tabs>
        <w:tab w:val="num" w:pos="1296"/>
      </w:tabs>
      <w:spacing w:before="240" w:after="60"/>
      <w:ind w:left="1296" w:hanging="288"/>
      <w:jc w:val="left"/>
      <w:outlineLvl w:val="6"/>
    </w:pPr>
    <w:rPr>
      <w:rFonts w:ascii="Times New Roman" w:eastAsiaTheme="minorHAnsi" w:hAnsi="Times New Roman"/>
      <w:szCs w:val="24"/>
      <w:lang w:eastAsia="ja-JP"/>
    </w:rPr>
  </w:style>
  <w:style w:type="paragraph" w:styleId="Titolo8">
    <w:name w:val="heading 8"/>
    <w:basedOn w:val="Normale"/>
    <w:next w:val="Normale"/>
    <w:link w:val="Titolo8Carattere"/>
    <w:qFormat/>
    <w:rsid w:val="00C4760E"/>
    <w:pPr>
      <w:tabs>
        <w:tab w:val="num" w:pos="1440"/>
      </w:tabs>
      <w:spacing w:before="240" w:after="60"/>
      <w:ind w:left="1440" w:hanging="432"/>
      <w:jc w:val="left"/>
      <w:outlineLvl w:val="7"/>
    </w:pPr>
    <w:rPr>
      <w:rFonts w:ascii="Times New Roman" w:eastAsiaTheme="minorHAnsi" w:hAnsi="Times New Roman"/>
      <w:i/>
      <w:iCs/>
      <w:szCs w:val="24"/>
      <w:lang w:eastAsia="ja-JP"/>
    </w:rPr>
  </w:style>
  <w:style w:type="paragraph" w:styleId="Titolo9">
    <w:name w:val="heading 9"/>
    <w:basedOn w:val="Normale"/>
    <w:next w:val="Normale"/>
    <w:link w:val="Titolo9Carattere"/>
    <w:qFormat/>
    <w:rsid w:val="00C4760E"/>
    <w:pPr>
      <w:tabs>
        <w:tab w:val="num" w:pos="1584"/>
      </w:tabs>
      <w:spacing w:before="240" w:after="60"/>
      <w:ind w:left="1584" w:hanging="144"/>
      <w:jc w:val="left"/>
      <w:outlineLvl w:val="8"/>
    </w:pPr>
    <w:rPr>
      <w:rFonts w:eastAsiaTheme="minorHAnsi" w:cs="Arial"/>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uiPriority w:val="99"/>
    <w:semiHidden/>
    <w:rsid w:val="00435BA3"/>
    <w:rPr>
      <w:rFonts w:ascii="Tahoma" w:hAnsi="Tahoma" w:cs="Tahoma"/>
      <w:sz w:val="16"/>
      <w:szCs w:val="16"/>
    </w:rPr>
  </w:style>
  <w:style w:type="paragraph" w:styleId="Sommario1">
    <w:name w:val="toc 1"/>
    <w:basedOn w:val="Normale"/>
    <w:next w:val="Normale"/>
    <w:autoRedefine/>
    <w:uiPriority w:val="39"/>
    <w:rsid w:val="00723656"/>
    <w:pPr>
      <w:tabs>
        <w:tab w:val="left" w:pos="709"/>
        <w:tab w:val="right" w:leader="dot" w:pos="9639"/>
      </w:tabs>
      <w:spacing w:before="240"/>
      <w:ind w:left="709" w:hanging="709"/>
      <w:jc w:val="left"/>
    </w:pPr>
    <w:rPr>
      <w:caps/>
      <w:sz w:val="22"/>
      <w:szCs w:val="22"/>
    </w:rPr>
  </w:style>
  <w:style w:type="paragraph" w:styleId="Sommario2">
    <w:name w:val="toc 2"/>
    <w:basedOn w:val="Normale"/>
    <w:next w:val="Normale"/>
    <w:autoRedefine/>
    <w:uiPriority w:val="39"/>
    <w:rsid w:val="00723656"/>
    <w:pPr>
      <w:tabs>
        <w:tab w:val="left" w:pos="709"/>
        <w:tab w:val="right" w:leader="dot" w:pos="9639"/>
      </w:tabs>
      <w:spacing w:before="120"/>
      <w:ind w:left="709" w:hanging="709"/>
      <w:jc w:val="left"/>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uiPriority w:val="9"/>
    <w:rsid w:val="00B01474"/>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B01474"/>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aliases w:val="H 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aliases w:val="H 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uiPriority w:val="99"/>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uiPriority w:val="99"/>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rsid w:val="00C4760E"/>
    <w:rPr>
      <w:rFonts w:eastAsiaTheme="minorHAnsi"/>
      <w:b/>
      <w:bCs/>
      <w:sz w:val="22"/>
      <w:szCs w:val="22"/>
      <w:lang w:val="it-IT" w:eastAsia="ja-JP"/>
    </w:rPr>
  </w:style>
  <w:style w:type="character" w:customStyle="1" w:styleId="Titolo7Carattere">
    <w:name w:val="Titolo 7 Carattere"/>
    <w:basedOn w:val="Carpredefinitoparagrafo"/>
    <w:link w:val="Titolo7"/>
    <w:rsid w:val="00C4760E"/>
    <w:rPr>
      <w:rFonts w:eastAsiaTheme="minorHAnsi"/>
      <w:sz w:val="24"/>
      <w:szCs w:val="24"/>
      <w:lang w:val="it-IT" w:eastAsia="ja-JP"/>
    </w:rPr>
  </w:style>
  <w:style w:type="character" w:customStyle="1" w:styleId="Titolo8Carattere">
    <w:name w:val="Titolo 8 Carattere"/>
    <w:basedOn w:val="Carpredefinitoparagrafo"/>
    <w:link w:val="Titolo8"/>
    <w:rsid w:val="00C4760E"/>
    <w:rPr>
      <w:rFonts w:eastAsiaTheme="minorHAnsi"/>
      <w:i/>
      <w:iCs/>
      <w:sz w:val="24"/>
      <w:szCs w:val="24"/>
      <w:lang w:val="it-IT" w:eastAsia="ja-JP"/>
    </w:rPr>
  </w:style>
  <w:style w:type="character" w:customStyle="1" w:styleId="Titolo9Carattere">
    <w:name w:val="Titolo 9 Carattere"/>
    <w:basedOn w:val="Carpredefinitoparagrafo"/>
    <w:link w:val="Titolo9"/>
    <w:rsid w:val="00C4760E"/>
    <w:rPr>
      <w:rFonts w:ascii="Arial" w:eastAsiaTheme="minorHAnsi" w:hAnsi="Arial" w:cs="Arial"/>
      <w:sz w:val="22"/>
      <w:szCs w:val="22"/>
      <w:lang w:val="it-IT" w:eastAsia="ja-JP"/>
    </w:rPr>
  </w:style>
  <w:style w:type="numbering" w:customStyle="1" w:styleId="StilePuntatoSymbolsimbolo">
    <w:name w:val="Stile Puntato Symbol (simbolo)"/>
    <w:rsid w:val="00C4760E"/>
    <w:pPr>
      <w:numPr>
        <w:numId w:val="3"/>
      </w:numPr>
    </w:pPr>
  </w:style>
  <w:style w:type="table" w:styleId="Sfondochiaro">
    <w:name w:val="Light Shading"/>
    <w:basedOn w:val="Tabellanormale"/>
    <w:uiPriority w:val="60"/>
    <w:rsid w:val="00C4760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imandocommento">
    <w:name w:val="annotation reference"/>
    <w:basedOn w:val="Carpredefinitoparagrafo"/>
    <w:uiPriority w:val="99"/>
    <w:semiHidden/>
    <w:unhideWhenUsed/>
    <w:rsid w:val="00C4760E"/>
    <w:rPr>
      <w:sz w:val="16"/>
      <w:szCs w:val="16"/>
    </w:rPr>
  </w:style>
  <w:style w:type="paragraph" w:styleId="Testocommento">
    <w:name w:val="annotation text"/>
    <w:basedOn w:val="Normale"/>
    <w:link w:val="TestocommentoCarattere"/>
    <w:uiPriority w:val="99"/>
    <w:semiHidden/>
    <w:unhideWhenUsed/>
    <w:rsid w:val="00C4760E"/>
    <w:pPr>
      <w:spacing w:after="80"/>
      <w:jc w:val="left"/>
    </w:pPr>
    <w:rPr>
      <w:rFonts w:ascii="Times New Roman" w:eastAsiaTheme="minorHAnsi" w:hAnsi="Times New Roman"/>
      <w:sz w:val="20"/>
      <w:lang w:eastAsia="ja-JP"/>
    </w:rPr>
  </w:style>
  <w:style w:type="character" w:customStyle="1" w:styleId="TestocommentoCarattere">
    <w:name w:val="Testo commento Carattere"/>
    <w:basedOn w:val="Carpredefinitoparagrafo"/>
    <w:link w:val="Testocommento"/>
    <w:uiPriority w:val="99"/>
    <w:semiHidden/>
    <w:rsid w:val="00C4760E"/>
    <w:rPr>
      <w:rFonts w:eastAsiaTheme="minorHAnsi"/>
      <w:lang w:val="it-IT" w:eastAsia="ja-JP"/>
    </w:rPr>
  </w:style>
  <w:style w:type="paragraph" w:styleId="Soggettocommento">
    <w:name w:val="annotation subject"/>
    <w:basedOn w:val="Testocommento"/>
    <w:next w:val="Testocommento"/>
    <w:link w:val="SoggettocommentoCarattere"/>
    <w:uiPriority w:val="99"/>
    <w:semiHidden/>
    <w:unhideWhenUsed/>
    <w:rsid w:val="00C4760E"/>
    <w:rPr>
      <w:b/>
      <w:bCs/>
    </w:rPr>
  </w:style>
  <w:style w:type="character" w:customStyle="1" w:styleId="SoggettocommentoCarattere">
    <w:name w:val="Soggetto commento Carattere"/>
    <w:basedOn w:val="TestocommentoCarattere"/>
    <w:link w:val="Soggettocommento"/>
    <w:uiPriority w:val="99"/>
    <w:semiHidden/>
    <w:rsid w:val="00C4760E"/>
    <w:rPr>
      <w:rFonts w:eastAsiaTheme="minorHAnsi"/>
      <w:b/>
      <w:bCs/>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2868">
      <w:bodyDiv w:val="1"/>
      <w:marLeft w:val="0"/>
      <w:marRight w:val="0"/>
      <w:marTop w:val="0"/>
      <w:marBottom w:val="0"/>
      <w:divBdr>
        <w:top w:val="none" w:sz="0" w:space="0" w:color="auto"/>
        <w:left w:val="none" w:sz="0" w:space="0" w:color="auto"/>
        <w:bottom w:val="none" w:sz="0" w:space="0" w:color="auto"/>
        <w:right w:val="none" w:sz="0" w:space="0" w:color="auto"/>
      </w:divBdr>
    </w:div>
    <w:div w:id="15819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i.ch/index.php?id=83064&amp;r=1&amp;user_gcparlamento_pi8%5battid%5d=102815&amp;user_gcparlamento_pi8%5btatid%5d=1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4.ti.ch/index.php?id=83064&amp;r=1&amp;user_gcparlamento_pi8%5battid%5d=102815&amp;user_gcparlamento_pi8%5btatid%5d=100" TargetMode="External"/><Relationship Id="rId4" Type="http://schemas.openxmlformats.org/officeDocument/2006/relationships/settings" Target="settings.xml"/><Relationship Id="rId9" Type="http://schemas.openxmlformats.org/officeDocument/2006/relationships/hyperlink" Target="https://www4.ti.ch/index.php?id=83064&amp;r=1&amp;user_gcparlamento_pi8%5battid%5d=102815&amp;user_gcparlamento_pi8%5btatid%5d=1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C3C0-DE60-4FDE-A502-C2FE6873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4640</Characters>
  <Application>Microsoft Office Word</Application>
  <DocSecurity>0</DocSecurity>
  <Lines>67</Lines>
  <Paragraphs>13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Lorena Gianolli</cp:lastModifiedBy>
  <cp:revision>2</cp:revision>
  <cp:lastPrinted>2022-04-07T21:52:00Z</cp:lastPrinted>
  <dcterms:created xsi:type="dcterms:W3CDTF">2022-04-08T13:47:00Z</dcterms:created>
  <dcterms:modified xsi:type="dcterms:W3CDTF">2022-04-08T13:47:00Z</dcterms:modified>
</cp:coreProperties>
</file>